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03188792"/>
        <w:docPartObj>
          <w:docPartGallery w:val="Cover Pages"/>
          <w:docPartUnique/>
        </w:docPartObj>
      </w:sdtPr>
      <w:sdtEndPr/>
      <w:sdtContent>
        <w:p w:rsidR="00C65013" w:rsidRPr="001D032A" w:rsidRDefault="00C65013"/>
        <w:p w:rsidR="00C65013" w:rsidRPr="001D032A" w:rsidRDefault="00C65013">
          <w:r w:rsidRPr="001D032A">
            <w:rPr>
              <w:noProof/>
              <w:lang w:eastAsia="cs-CZ"/>
            </w:rPr>
            <mc:AlternateContent>
              <mc:Choice Requires="wps">
                <w:drawing>
                  <wp:anchor distT="0" distB="0" distL="114300" distR="114300" simplePos="0" relativeHeight="251662336" behindDoc="0" locked="0" layoutInCell="1" allowOverlap="1">
                    <wp:simplePos x="0" y="0"/>
                    <wp:positionH relativeFrom="page">
                      <wp:posOffset>327660</wp:posOffset>
                    </wp:positionH>
                    <wp:positionV relativeFrom="margin">
                      <wp:posOffset>5744845</wp:posOffset>
                    </wp:positionV>
                    <wp:extent cx="5753100" cy="167640"/>
                    <wp:effectExtent l="0" t="0" r="0" b="3810"/>
                    <wp:wrapSquare wrapText="bothSides"/>
                    <wp:docPr id="128" name="Textové pole 128"/>
                    <wp:cNvGraphicFramePr/>
                    <a:graphic xmlns:a="http://schemas.openxmlformats.org/drawingml/2006/main">
                      <a:graphicData uri="http://schemas.microsoft.com/office/word/2010/wordprocessingShape">
                        <wps:wsp>
                          <wps:cNvSpPr txBox="1"/>
                          <wps:spPr>
                            <a:xfrm>
                              <a:off x="0" y="0"/>
                              <a:ext cx="5753100" cy="16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BF0" w:rsidRPr="00C65013" w:rsidRDefault="005A1CC4" w:rsidP="00C65013">
                                <w:pPr>
                                  <w:rPr>
                                    <w:color w:val="7F7F7F" w:themeColor="text1" w:themeTint="80"/>
                                    <w:sz w:val="20"/>
                                    <w:szCs w:val="20"/>
                                  </w:rPr>
                                </w:pPr>
                                <w:sdt>
                                  <w:sdtPr>
                                    <w:rPr>
                                      <w:caps/>
                                      <w:color w:val="7F7F7F" w:themeColor="text1" w:themeTint="80"/>
                                      <w:sz w:val="18"/>
                                      <w:szCs w:val="18"/>
                                    </w:rPr>
                                    <w:alias w:val="Společnost"/>
                                    <w:tag w:val=""/>
                                    <w:id w:val="-1214108720"/>
                                    <w:showingPlcHdr/>
                                    <w:dataBinding w:prefixMappings="xmlns:ns0='http://schemas.openxmlformats.org/officeDocument/2006/extended-properties' " w:xpath="/ns0:Properties[1]/ns0:Company[1]" w:storeItemID="{6668398D-A668-4E3E-A5EB-62B293D839F1}"/>
                                    <w:text/>
                                  </w:sdtPr>
                                  <w:sdtEndPr>
                                    <w:rPr>
                                      <w:sz w:val="20"/>
                                      <w:szCs w:val="20"/>
                                    </w:rPr>
                                  </w:sdtEndPr>
                                  <w:sdtContent>
                                    <w:r w:rsidR="00581BF0" w:rsidRPr="00C65013">
                                      <w:rPr>
                                        <w:caps/>
                                        <w:color w:val="7F7F7F" w:themeColor="text1" w:themeTint="80"/>
                                        <w:sz w:val="20"/>
                                        <w:szCs w:val="20"/>
                                      </w:rPr>
                                      <w:t xml:space="preserve">     </w:t>
                                    </w:r>
                                  </w:sdtContent>
                                </w:sdt>
                                <w:r w:rsidR="00581BF0" w:rsidRPr="00C65013">
                                  <w:rPr>
                                    <w:color w:val="7F7F7F" w:themeColor="text1" w:themeTint="80"/>
                                    <w:sz w:val="20"/>
                                    <w:szCs w:val="20"/>
                                  </w:rPr>
                                  <w:t>Souhrn analytických materiálů</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128" o:spid="_x0000_s1026" type="#_x0000_t202" style="position:absolute;margin-left:25.8pt;margin-top:452.35pt;width:453pt;height:1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" filled="f" stroked="f" strokeweight=".5pt">
                    <v:textbox inset="1in,0,86.4pt,0">
                      <w:txbxContent>
                        <w:p w:rsidR="00581BF0" w:rsidRPr="00C65013" w:rsidRDefault="00581BF0" w:rsidP="00C65013">
                          <w:pPr>
                            <w:rPr>
                              <w:color w:val="7F7F7F" w:themeColor="text1" w:themeTint="80"/>
                              <w:sz w:val="20"/>
                              <w:szCs w:val="20"/>
                            </w:rPr>
                          </w:pPr>
                          <w:sdt>
                            <w:sdtPr>
                              <w:rPr>
                                <w:caps/>
                                <w:color w:val="7F7F7F" w:themeColor="text1" w:themeTint="80"/>
                                <w:sz w:val="18"/>
                                <w:szCs w:val="18"/>
                              </w:rPr>
                              <w:alias w:val="Společnost"/>
                              <w:tag w:val=""/>
                              <w:id w:val="-1214108720"/>
                              <w:showingPlcHdr/>
                              <w:dataBinding w:prefixMappings="xmlns:ns0='http://schemas.openxmlformats.org/officeDocument/2006/extended-properties' " w:xpath="/ns0:Properties[1]/ns0:Company[1]" w:storeItemID="{6668398D-A668-4E3E-A5EB-62B293D839F1}"/>
                              <w:text/>
                            </w:sdtPr>
                            <w:sdtEndPr>
                              <w:rPr>
                                <w:sz w:val="20"/>
                                <w:szCs w:val="20"/>
                              </w:rPr>
                            </w:sdtEndPr>
                            <w:sdtContent>
                              <w:r w:rsidRPr="00C65013">
                                <w:rPr>
                                  <w:caps/>
                                  <w:color w:val="7F7F7F" w:themeColor="text1" w:themeTint="80"/>
                                  <w:sz w:val="20"/>
                                  <w:szCs w:val="20"/>
                                </w:rPr>
                                <w:t xml:space="preserve">     </w:t>
                              </w:r>
                            </w:sdtContent>
                          </w:sdt>
                          <w:r w:rsidRPr="00C65013">
                            <w:rPr>
                              <w:color w:val="7F7F7F" w:themeColor="text1" w:themeTint="80"/>
                              <w:sz w:val="20"/>
                              <w:szCs w:val="20"/>
                            </w:rPr>
                            <w:t>Souhrn analytických materiálů</w:t>
                          </w:r>
                        </w:p>
                      </w:txbxContent>
                    </v:textbox>
                    <w10:wrap type="square" anchorx="page" anchory="margin"/>
                  </v:shape>
                </w:pict>
              </mc:Fallback>
            </mc:AlternateContent>
          </w:r>
          <w:r w:rsidRPr="001D032A">
            <w:rPr>
              <w:noProof/>
              <w:lang w:eastAsia="cs-CZ"/>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635" b="0"/>
                    <wp:wrapNone/>
                    <wp:docPr id="125" name="Skupin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olný tva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581BF0" w:rsidRDefault="005A1CC4">
                                  <w:pPr>
                                    <w:rPr>
                                      <w:color w:val="FFFFFF" w:themeColor="background1"/>
                                      <w:sz w:val="72"/>
                                      <w:szCs w:val="72"/>
                                    </w:rPr>
                                  </w:pPr>
                                  <w:sdt>
                                    <w:sdtPr>
                                      <w:rPr>
                                        <w:color w:val="FFFFFF" w:themeColor="background1"/>
                                        <w:sz w:val="72"/>
                                        <w:szCs w:val="72"/>
                                      </w:rPr>
                                      <w:alias w:val="Název"/>
                                      <w:tag w:val=""/>
                                      <w:id w:val="-1582212901"/>
                                      <w:dataBinding w:prefixMappings="xmlns:ns0='http://purl.org/dc/elements/1.1/' xmlns:ns1='http://schemas.openxmlformats.org/package/2006/metadata/core-properties' " w:xpath="/ns1:coreProperties[1]/ns0:title[1]" w:storeItemID="{6C3C8BC8-F283-45AE-878A-BAB7291924A1}"/>
                                      <w:text/>
                                    </w:sdtPr>
                                    <w:sdtEndPr/>
                                    <w:sdtContent>
                                      <w:r w:rsidR="00581BF0">
                                        <w:rPr>
                                          <w:color w:val="FFFFFF" w:themeColor="background1"/>
                                          <w:sz w:val="72"/>
                                          <w:szCs w:val="72"/>
                                        </w:rPr>
                                        <w:t>Ekonomická analýza zdravotních pojišťoven v České republice</w:t>
                                      </w:r>
                                    </w:sdtContent>
                                  </w:sdt>
                                </w:p>
                              </w:txbxContent>
                            </wps:txbx>
                            <wps:bodyPr rot="0" vert="horz" wrap="square" lIns="914400" tIns="1097280" rIns="1097280" bIns="1097280" anchor="b" anchorCtr="0" upright="1">
                              <a:noAutofit/>
                            </wps:bodyPr>
                          </wps:wsp>
                          <wps:wsp>
                            <wps:cNvPr id="127" name="Volný tva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HmHKfjxBQAAxRQAAA4AAAAAAAAAAAAAAAAALgIAAGRycy9lMm9Eb2Mu&#10;eG1sUEsBAi0AFAAGAAgAAAAhAEjB3GvaAAAABwEAAA8AAAAAAAAAAAAAAAAASwgAAGRycy9kb3du&#10;cmV2LnhtbFBLBQYAAAAABAAEAPMAAABSCQAAAAA=&#10;">
                    <o:lock v:ext="edit" aspectratio="t"/>
                    <v:shape id="Volný tvar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04040 [2994]" stroked="f">
                      <v:fill color2="#1f1f1f [2018]" rotate="t" colors="0 #5a5a5a;.5 #3e3e3e;1 #27272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581BF0" w:rsidRDefault="00581BF0">
                            <w:pPr>
                              <w:rPr>
                                <w:color w:val="FFFFFF" w:themeColor="background1"/>
                                <w:sz w:val="72"/>
                                <w:szCs w:val="72"/>
                              </w:rPr>
                            </w:pPr>
                            <w:sdt>
                              <w:sdtPr>
                                <w:rPr>
                                  <w:color w:val="FFFFFF" w:themeColor="background1"/>
                                  <w:sz w:val="72"/>
                                  <w:szCs w:val="72"/>
                                </w:rPr>
                                <w:alias w:val="Název"/>
                                <w:tag w:val=""/>
                                <w:id w:val="-1582212901"/>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Ekonomická analýza zdravotních pojišťoven v České republice</w:t>
                                </w:r>
                              </w:sdtContent>
                            </w:sdt>
                          </w:p>
                        </w:txbxContent>
                      </v:textbox>
                    </v:shape>
                    <v:shape id="Volný tvar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1D032A">
            <w:rPr>
              <w:noProof/>
              <w:lang w:eastAsia="cs-CZ"/>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ové pol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A5300F" w:themeColor="accent1"/>
                                    <w:sz w:val="28"/>
                                    <w:szCs w:val="28"/>
                                  </w:rPr>
                                  <w:alias w:val="Podtitul"/>
                                  <w:tag w:val=""/>
                                  <w:id w:val="331034080"/>
                                  <w:dataBinding w:prefixMappings="xmlns:ns0='http://purl.org/dc/elements/1.1/' xmlns:ns1='http://schemas.openxmlformats.org/package/2006/metadata/core-properties' " w:xpath="/ns1:coreProperties[1]/ns0:subject[1]" w:storeItemID="{6C3C8BC8-F283-45AE-878A-BAB7291924A1}"/>
                                  <w:text/>
                                </w:sdtPr>
                                <w:sdtEndPr/>
                                <w:sdtContent>
                                  <w:p w:rsidR="00581BF0" w:rsidRDefault="00581BF0" w:rsidP="00C65013">
                                    <w:pPr>
                                      <w:spacing w:before="40" w:after="40"/>
                                      <w:rPr>
                                        <w:caps/>
                                        <w:color w:val="A5300F" w:themeColor="accent1"/>
                                        <w:sz w:val="28"/>
                                        <w:szCs w:val="28"/>
                                      </w:rPr>
                                    </w:pPr>
                                    <w:r>
                                      <w:rPr>
                                        <w:caps/>
                                        <w:color w:val="A5300F" w:themeColor="accent1"/>
                                        <w:sz w:val="28"/>
                                        <w:szCs w:val="28"/>
                                      </w:rPr>
                                      <w:t>Jak zdravé jsou zdravotní pojišťovny?</w:t>
                                    </w:r>
                                  </w:p>
                                </w:sdtContent>
                              </w:sdt>
                              <w:sdt>
                                <w:sdtPr>
                                  <w:rPr>
                                    <w:caps/>
                                    <w:color w:val="7F5F52" w:themeColor="accent5"/>
                                    <w:sz w:val="20"/>
                                    <w:szCs w:val="20"/>
                                  </w:rPr>
                                  <w:alias w:val="Autor"/>
                                  <w:tag w:val=""/>
                                  <w:id w:val="1124579257"/>
                                  <w:dataBinding w:prefixMappings="xmlns:ns0='http://purl.org/dc/elements/1.1/' xmlns:ns1='http://schemas.openxmlformats.org/package/2006/metadata/core-properties' " w:xpath="/ns1:coreProperties[1]/ns0:creator[1]" w:storeItemID="{6C3C8BC8-F283-45AE-878A-BAB7291924A1}"/>
                                  <w:text/>
                                </w:sdtPr>
                                <w:sdtEndPr/>
                                <w:sdtContent>
                                  <w:p w:rsidR="00581BF0" w:rsidRPr="00C65013" w:rsidRDefault="00CD1291" w:rsidP="00C65013">
                                    <w:pPr>
                                      <w:spacing w:before="40" w:after="40"/>
                                      <w:rPr>
                                        <w:caps/>
                                        <w:color w:val="7F5F52" w:themeColor="accent5"/>
                                        <w:sz w:val="20"/>
                                        <w:szCs w:val="20"/>
                                      </w:rPr>
                                    </w:pPr>
                                    <w:r>
                                      <w:rPr>
                                        <w:caps/>
                                        <w:color w:val="7F5F52" w:themeColor="accent5"/>
                                        <w:sz w:val="20"/>
                                        <w:szCs w:val="20"/>
                                      </w:rPr>
                                      <w:t>Tomáš Cikrt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" filled="f" stroked="f" strokeweight=".5pt">
                    <v:textbox style="mso-fit-shape-to-text:t" inset="1in,0,86.4pt,0">
                      <w:txbxContent>
                        <w:sdt>
                          <w:sdtPr>
                            <w:rPr>
                              <w:caps/>
                              <w:color w:val="A5300F" w:themeColor="accent1"/>
                              <w:sz w:val="28"/>
                              <w:szCs w:val="28"/>
                            </w:rPr>
                            <w:alias w:val="Podtitul"/>
                            <w:tag w:val=""/>
                            <w:id w:val="331034080"/>
                            <w:dataBinding w:prefixMappings="xmlns:ns0='http://purl.org/dc/elements/1.1/' xmlns:ns1='http://schemas.openxmlformats.org/package/2006/metadata/core-properties' " w:xpath="/ns1:coreProperties[1]/ns0:subject[1]" w:storeItemID="{6C3C8BC8-F283-45AE-878A-BAB7291924A1}"/>
                            <w:text/>
                          </w:sdtPr>
                          <w:sdtEndPr/>
                          <w:sdtContent>
                            <w:p w:rsidR="00581BF0" w:rsidRDefault="00581BF0" w:rsidP="00C65013">
                              <w:pPr>
                                <w:spacing w:before="40" w:after="40"/>
                                <w:rPr>
                                  <w:caps/>
                                  <w:color w:val="A5300F" w:themeColor="accent1"/>
                                  <w:sz w:val="28"/>
                                  <w:szCs w:val="28"/>
                                </w:rPr>
                              </w:pPr>
                              <w:r>
                                <w:rPr>
                                  <w:caps/>
                                  <w:color w:val="A5300F" w:themeColor="accent1"/>
                                  <w:sz w:val="28"/>
                                  <w:szCs w:val="28"/>
                                </w:rPr>
                                <w:t>Jak zdravé jsou zdravotní pojišťovny?</w:t>
                              </w:r>
                            </w:p>
                          </w:sdtContent>
                        </w:sdt>
                        <w:sdt>
                          <w:sdtPr>
                            <w:rPr>
                              <w:caps/>
                              <w:color w:val="7F5F52" w:themeColor="accent5"/>
                              <w:sz w:val="20"/>
                              <w:szCs w:val="20"/>
                            </w:rPr>
                            <w:alias w:val="Autor"/>
                            <w:tag w:val=""/>
                            <w:id w:val="1124579257"/>
                            <w:dataBinding w:prefixMappings="xmlns:ns0='http://purl.org/dc/elements/1.1/' xmlns:ns1='http://schemas.openxmlformats.org/package/2006/metadata/core-properties' " w:xpath="/ns1:coreProperties[1]/ns0:creator[1]" w:storeItemID="{6C3C8BC8-F283-45AE-878A-BAB7291924A1}"/>
                            <w:text/>
                          </w:sdtPr>
                          <w:sdtEndPr/>
                          <w:sdtContent>
                            <w:p w:rsidR="00581BF0" w:rsidRPr="00C65013" w:rsidRDefault="00CD1291" w:rsidP="00C65013">
                              <w:pPr>
                                <w:spacing w:before="40" w:after="40"/>
                                <w:rPr>
                                  <w:caps/>
                                  <w:color w:val="7F5F52" w:themeColor="accent5"/>
                                  <w:sz w:val="20"/>
                                  <w:szCs w:val="20"/>
                                </w:rPr>
                              </w:pPr>
                              <w:r>
                                <w:rPr>
                                  <w:caps/>
                                  <w:color w:val="7F5F52" w:themeColor="accent5"/>
                                  <w:sz w:val="20"/>
                                  <w:szCs w:val="20"/>
                                </w:rPr>
                                <w:t>Tomáš Cikrt</w:t>
                              </w:r>
                            </w:p>
                          </w:sdtContent>
                        </w:sdt>
                      </w:txbxContent>
                    </v:textbox>
                    <w10:wrap type="square" anchorx="page" anchory="page"/>
                  </v:shape>
                </w:pict>
              </mc:Fallback>
            </mc:AlternateContent>
          </w:r>
          <w:r w:rsidRPr="001D032A">
            <w:rPr>
              <w:noProof/>
              <w:lang w:eastAsia="cs-CZ"/>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Obdélní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8"/>
                                    <w:szCs w:val="28"/>
                                  </w:rPr>
                                  <w:alias w:val="Rok"/>
                                  <w:tag w:val=""/>
                                  <w:id w:val="1595126926"/>
                                  <w:dataBinding w:prefixMappings="xmlns:ns0='http://schemas.microsoft.com/office/2006/coverPageProps' " w:xpath="/ns0:CoverPageProperties[1]/ns0:PublishDate[1]" w:storeItemID="{55AF091B-3C7A-41E3-B477-F2FDAA23CFDA}"/>
                                  <w:date w:fullDate="2018-01-01T00:00:00Z">
                                    <w:dateFormat w:val="yyyy"/>
                                    <w:lid w:val="cs-CZ"/>
                                    <w:storeMappedDataAs w:val="dateTime"/>
                                    <w:calendar w:val="gregorian"/>
                                  </w:date>
                                </w:sdtPr>
                                <w:sdtEndPr/>
                                <w:sdtContent>
                                  <w:p w:rsidR="00581BF0" w:rsidRDefault="00581BF0" w:rsidP="005E0D53">
                                    <w:pPr>
                                      <w:jc w:val="center"/>
                                      <w:rPr>
                                        <w:color w:val="FFFFFF" w:themeColor="background1"/>
                                        <w:sz w:val="24"/>
                                        <w:szCs w:val="24"/>
                                      </w:rPr>
                                    </w:pPr>
                                    <w:r w:rsidRPr="00C65013">
                                      <w:rPr>
                                        <w:b/>
                                        <w:color w:val="FFFFFF" w:themeColor="background1"/>
                                        <w:sz w:val="28"/>
                                        <w:szCs w:val="28"/>
                                      </w:rPr>
                                      <w:t>201</w:t>
                                    </w:r>
                                    <w:r>
                                      <w:rPr>
                                        <w:b/>
                                        <w:color w:val="FFFFFF" w:themeColor="background1"/>
                                        <w:sz w:val="28"/>
                                        <w:szCs w:val="28"/>
                                      </w:rPr>
                                      <w:t>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" fillcolor="#a5300f [3204]" stroked="f" strokeweight="1pt">
                    <o:lock v:ext="edit" aspectratio="t"/>
                    <v:textbox inset="3.6pt,,3.6pt">
                      <w:txbxContent>
                        <w:sdt>
                          <w:sdtPr>
                            <w:rPr>
                              <w:b/>
                              <w:color w:val="FFFFFF" w:themeColor="background1"/>
                              <w:sz w:val="28"/>
                              <w:szCs w:val="28"/>
                            </w:rPr>
                            <w:alias w:val="Rok"/>
                            <w:tag w:val=""/>
                            <w:id w:val="1595126926"/>
                            <w:dataBinding w:prefixMappings="xmlns:ns0='http://schemas.microsoft.com/office/2006/coverPageProps' " w:xpath="/ns0:CoverPageProperties[1]/ns0:PublishDate[1]" w:storeItemID="{55AF091B-3C7A-41E3-B477-F2FDAA23CFDA}"/>
                            <w:date w:fullDate="2018-01-01T00:00:00Z">
                              <w:dateFormat w:val="yyyy"/>
                              <w:lid w:val="cs-CZ"/>
                              <w:storeMappedDataAs w:val="dateTime"/>
                              <w:calendar w:val="gregorian"/>
                            </w:date>
                          </w:sdtPr>
                          <w:sdtContent>
                            <w:p w:rsidR="00581BF0" w:rsidRDefault="00581BF0" w:rsidP="005E0D53">
                              <w:pPr>
                                <w:jc w:val="center"/>
                                <w:rPr>
                                  <w:color w:val="FFFFFF" w:themeColor="background1"/>
                                  <w:sz w:val="24"/>
                                  <w:szCs w:val="24"/>
                                </w:rPr>
                              </w:pPr>
                              <w:r w:rsidRPr="00C65013">
                                <w:rPr>
                                  <w:b/>
                                  <w:color w:val="FFFFFF" w:themeColor="background1"/>
                                  <w:sz w:val="28"/>
                                  <w:szCs w:val="28"/>
                                </w:rPr>
                                <w:t>201</w:t>
                              </w:r>
                              <w:r>
                                <w:rPr>
                                  <w:b/>
                                  <w:color w:val="FFFFFF" w:themeColor="background1"/>
                                  <w:sz w:val="28"/>
                                  <w:szCs w:val="28"/>
                                </w:rPr>
                                <w:t>8</w:t>
                              </w:r>
                            </w:p>
                          </w:sdtContent>
                        </w:sdt>
                      </w:txbxContent>
                    </v:textbox>
                    <w10:wrap anchorx="margin" anchory="page"/>
                  </v:rect>
                </w:pict>
              </mc:Fallback>
            </mc:AlternateContent>
          </w:r>
          <w:r w:rsidRPr="001D032A">
            <w:br w:type="page"/>
          </w:r>
        </w:p>
      </w:sdtContent>
    </w:sdt>
    <w:p w:rsidR="00E8021A" w:rsidRPr="001D032A" w:rsidRDefault="00C65013" w:rsidP="00C65013">
      <w:pPr>
        <w:pStyle w:val="Nadpis1"/>
        <w:rPr>
          <w:b/>
        </w:rPr>
      </w:pPr>
      <w:bookmarkStart w:id="1" w:name="_Toc525944486"/>
      <w:r w:rsidRPr="001D032A">
        <w:rPr>
          <w:b/>
        </w:rPr>
        <w:lastRenderedPageBreak/>
        <w:t>Manažerské shrnutí</w:t>
      </w:r>
      <w:bookmarkEnd w:id="1"/>
    </w:p>
    <w:p w:rsidR="004D05FC" w:rsidRPr="001D032A" w:rsidRDefault="004D05FC" w:rsidP="004D05FC">
      <w:pPr>
        <w:jc w:val="both"/>
        <w:rPr>
          <w:sz w:val="24"/>
          <w:szCs w:val="24"/>
        </w:rPr>
      </w:pPr>
      <w:r w:rsidRPr="001D032A">
        <w:rPr>
          <w:sz w:val="24"/>
          <w:szCs w:val="24"/>
        </w:rPr>
        <w:t xml:space="preserve">Nejvíce pojištěnců má VZP ČR a udržuje si tak dominantní postavení na trhu. Mezi větší zdravotní pojišťovny patří ZP MV ČR a ČPZP. Středně velkými zdravotními pojišťovnami jsou OZP a VoZP ČR a mezi nejmenší zdravotní pojišťovny patří RBP a ZPŠ. </w:t>
      </w:r>
    </w:p>
    <w:p w:rsidR="004D05FC" w:rsidRPr="001D032A" w:rsidRDefault="004D05FC" w:rsidP="004D05FC">
      <w:pPr>
        <w:jc w:val="both"/>
        <w:rPr>
          <w:sz w:val="24"/>
          <w:szCs w:val="24"/>
        </w:rPr>
      </w:pPr>
      <w:r w:rsidRPr="001D032A">
        <w:rPr>
          <w:sz w:val="24"/>
          <w:szCs w:val="24"/>
        </w:rPr>
        <w:t>Zajímavým ukazatelem je počet pojištěnců na jednoho zaměstnance pojišťovny. Přibližně totiž platí, že čím méně pojištěnců připadá na jednoho zaměstnance, tím více času může tento zaměstnanec věnovat pojištěncům. To při určité generalizaci napovídá, jaký komfort zdravotní pojišťovna poskytuje svým pojištěncům při vyřizování administrativních a dalších náležitostí. V tomto ukazateli nejlépe dopadla VZP ČR, která poskytuje širokou síť poboček v rámci celé České republiky. Dobře se v tomto ukazateli umístil</w:t>
      </w:r>
      <w:r w:rsidR="00BE03DC">
        <w:rPr>
          <w:sz w:val="24"/>
          <w:szCs w:val="24"/>
        </w:rPr>
        <w:t>y</w:t>
      </w:r>
      <w:r w:rsidRPr="001D032A">
        <w:rPr>
          <w:sz w:val="24"/>
          <w:szCs w:val="24"/>
        </w:rPr>
        <w:t xml:space="preserve"> i VoZP ČR a ZPŠ. Na chvostu pak skončil</w:t>
      </w:r>
      <w:r w:rsidR="00BE03DC">
        <w:rPr>
          <w:sz w:val="24"/>
          <w:szCs w:val="24"/>
        </w:rPr>
        <w:t>y</w:t>
      </w:r>
      <w:r w:rsidRPr="001D032A">
        <w:rPr>
          <w:sz w:val="24"/>
          <w:szCs w:val="24"/>
        </w:rPr>
        <w:t xml:space="preserve"> ZP MV ČR a ČPZP.</w:t>
      </w:r>
    </w:p>
    <w:p w:rsidR="004D05FC" w:rsidRPr="001D032A" w:rsidRDefault="004D05FC" w:rsidP="004D05FC">
      <w:pPr>
        <w:jc w:val="both"/>
        <w:rPr>
          <w:sz w:val="24"/>
          <w:szCs w:val="24"/>
        </w:rPr>
      </w:pPr>
      <w:r w:rsidRPr="001D032A">
        <w:rPr>
          <w:sz w:val="24"/>
          <w:szCs w:val="24"/>
        </w:rPr>
        <w:t xml:space="preserve">Z hlediska dlouhodobého hospodaření zdravotních pojišťoven je podstatný ukazatel kumulovaného rozdílu příjmů a výdajů za 5 po sobě jdoucích let. Tento ukazatel nám říká, zda zdravotní pojišťovny dokážou dlouhodobě hospodařit s vyrovnanými rozpočty, což hraje důležitou roli v otázce finanční stability zdravotních pojišťoven. V tomto ukazateli dopadla nejlépe VZP </w:t>
      </w:r>
      <w:r w:rsidR="005E0D53" w:rsidRPr="001D032A">
        <w:rPr>
          <w:sz w:val="24"/>
          <w:szCs w:val="24"/>
        </w:rPr>
        <w:t>ČR,</w:t>
      </w:r>
      <w:r w:rsidRPr="001D032A">
        <w:rPr>
          <w:sz w:val="24"/>
          <w:szCs w:val="24"/>
        </w:rPr>
        <w:t xml:space="preserve"> a to díky zlepšenému hospodaření v posledních letech. Na druhém místě se umístila OZP a třetí skončila ZPŠ. Naopak nejhůře dopadly ČP ZP a ZP MV ČR.</w:t>
      </w:r>
    </w:p>
    <w:p w:rsidR="004D05FC" w:rsidRPr="001D032A" w:rsidRDefault="004D05FC" w:rsidP="004D05FC">
      <w:pPr>
        <w:jc w:val="both"/>
        <w:rPr>
          <w:sz w:val="24"/>
          <w:szCs w:val="24"/>
        </w:rPr>
      </w:pPr>
      <w:r w:rsidRPr="001D032A">
        <w:rPr>
          <w:sz w:val="24"/>
          <w:szCs w:val="24"/>
        </w:rPr>
        <w:t xml:space="preserve">Zajímavé je sledovat, jak se ukazatel kumulovaného rozdílu příjmů a výdajů změní, když ho přepočteme na jednoho pojištěnce. V tu chvíli přestane hrát roli dominance jednotlivých pojišťoven na trhu a výsledky mají o něco vyšší vypovídající hodnotu. V takto inovovaném ukazateli se však pořadí zdravotních pojišťoven příliš nezmění. Nejlépe dopadla VZP ČR následovaná OZP, třetí místo obsadila ZPŠ. </w:t>
      </w:r>
    </w:p>
    <w:p w:rsidR="004D05FC" w:rsidRPr="001D032A" w:rsidRDefault="004D05FC" w:rsidP="004D05FC">
      <w:pPr>
        <w:jc w:val="both"/>
        <w:rPr>
          <w:sz w:val="24"/>
          <w:szCs w:val="24"/>
        </w:rPr>
      </w:pPr>
      <w:r w:rsidRPr="001D032A">
        <w:rPr>
          <w:sz w:val="24"/>
          <w:szCs w:val="24"/>
        </w:rPr>
        <w:t xml:space="preserve">Dalším ukazatelem, který je dobré sledovat, je relativní nárůst výdajů. Tento ukazatel nám totiž říká, jak se mění velikost dodatečně vynaložených prostředků, které vynakládají zdravotní pojišťovny v posledním sledovaném roce. Velikost těchto prostředků má totiž dopad na proplácení zdravotní péče. V tomto ukazateli relativní výdaje nejvíce narostly ČPZP a VZP ČR. Naopak nejnižší nárůst relativních </w:t>
      </w:r>
      <w:r w:rsidR="00FE6739" w:rsidRPr="001D032A">
        <w:rPr>
          <w:sz w:val="24"/>
          <w:szCs w:val="24"/>
        </w:rPr>
        <w:t xml:space="preserve">výdajů mají </w:t>
      </w:r>
      <w:r w:rsidRPr="001D032A">
        <w:rPr>
          <w:sz w:val="24"/>
          <w:szCs w:val="24"/>
        </w:rPr>
        <w:t>RBP a VoZP ČR.</w:t>
      </w:r>
    </w:p>
    <w:p w:rsidR="004D05FC" w:rsidRPr="001D032A" w:rsidRDefault="004D05FC" w:rsidP="004D05FC">
      <w:pPr>
        <w:jc w:val="both"/>
        <w:rPr>
          <w:sz w:val="24"/>
          <w:szCs w:val="24"/>
        </w:rPr>
      </w:pPr>
      <w:r w:rsidRPr="001D032A">
        <w:rPr>
          <w:sz w:val="24"/>
          <w:szCs w:val="24"/>
        </w:rPr>
        <w:t>Z pohledu klientů zdravotních pojišťoven je určitě důležitý indikátor výdajů na preventivní péči. V průběhu let je tento indikátor velmi volatilní, což můžeme vidět i na průřezových datech zdravotních pojišťoven pro rok 2018. V přepočtu na 1 pojištěnce na preventivní péči vynakládá nejvíce VoZP ČR a to 200 Kč, naopak nejméně vynakládá VZP ČR a to pouze 88 Kč. U tohoto ukazatele je též potřeba sledovat, jak se vyvíjí v čase, aby pojištěnci mohli vybírat zdravotní pojišťovnu podle vývoje nákladů na prevenci, což tvoří rozdíl v poskytovaných službách zdravotních pojišťoven. VoZP ČR pro rok 2018 významně mění velikost výdajů na preventivní péči a v porovnání s rokem 2017 zde dochází k nejvyššímu nárůstu, a to o více než 85 %. Zajímavé nárůsty vykázaly ČPZP a RBP. Naopak malé nárůsty výdajů na preventivní péči vykazuje VZP ČR</w:t>
      </w:r>
      <w:r w:rsidR="00FE6739" w:rsidRPr="001D032A">
        <w:rPr>
          <w:sz w:val="24"/>
          <w:szCs w:val="24"/>
        </w:rPr>
        <w:t>.</w:t>
      </w:r>
    </w:p>
    <w:p w:rsidR="004D05FC" w:rsidRPr="001D032A" w:rsidRDefault="004D05FC" w:rsidP="004D05FC">
      <w:pPr>
        <w:jc w:val="both"/>
        <w:rPr>
          <w:sz w:val="24"/>
          <w:szCs w:val="24"/>
        </w:rPr>
      </w:pPr>
      <w:r w:rsidRPr="001D032A">
        <w:rPr>
          <w:sz w:val="24"/>
          <w:szCs w:val="24"/>
        </w:rPr>
        <w:t xml:space="preserve">Z hlediska okamžité mobilizace finančních prostředků zdravotních pojišťoven je důležitý ukazatel peněžních prostředků přepočtených na 1 pojištěnce. V tomto ukazateli se jako </w:t>
      </w:r>
      <w:r w:rsidRPr="001D032A">
        <w:rPr>
          <w:sz w:val="24"/>
          <w:szCs w:val="24"/>
        </w:rPr>
        <w:lastRenderedPageBreak/>
        <w:t>nejlepší ukázala ZPŠ následovaná OZP. Naopak nejhorší je VoZP ČR, která má na jednoho klienta pouze 1 370 Kč.</w:t>
      </w:r>
    </w:p>
    <w:p w:rsidR="00C65013" w:rsidRPr="001D032A" w:rsidRDefault="004D05FC" w:rsidP="005E0D53">
      <w:pPr>
        <w:jc w:val="both"/>
        <w:rPr>
          <w:sz w:val="24"/>
          <w:szCs w:val="24"/>
        </w:rPr>
      </w:pPr>
      <w:r w:rsidRPr="001D032A">
        <w:rPr>
          <w:sz w:val="24"/>
          <w:szCs w:val="24"/>
        </w:rPr>
        <w:t xml:space="preserve">Posledním zkoumaným ukazatelem je finanční zásoba zdravotních pojišťoven na bankovních účtech základního fondu zdravotního pojištění vyjádřená ve dnech výdajů na péči. Tento ukazatel nám říká, jak mohou být jednotlivé zdravotní pojišťovny ochotny proplácet vykázanou péči za své pojištěnce různým zdravotním zařízením. Nejlépe dopadla ZPŠ, která má finanční zásobu na 37 dní. Naopak velmi špatně dopadly VoZP ČR a VZP ČR, které mají finanční zásobu pouze na 9 respektive 12 dní. Ostatní zdravotní pojišťovny se pohybují v intervalu 15 až 33 dní. </w:t>
      </w:r>
    </w:p>
    <w:p w:rsidR="00C65013" w:rsidRPr="001D032A" w:rsidRDefault="00C65013">
      <w:r w:rsidRPr="001D032A">
        <w:br w:type="page"/>
      </w:r>
    </w:p>
    <w:p w:rsidR="00C65013" w:rsidRPr="001D032A" w:rsidRDefault="00C65013" w:rsidP="00C65013">
      <w:pPr>
        <w:pStyle w:val="Nadpis1"/>
        <w:rPr>
          <w:b/>
        </w:rPr>
      </w:pPr>
      <w:bookmarkStart w:id="2" w:name="_Toc525944487"/>
      <w:r w:rsidRPr="001D032A">
        <w:rPr>
          <w:b/>
        </w:rPr>
        <w:lastRenderedPageBreak/>
        <w:t>Obsah</w:t>
      </w:r>
      <w:bookmarkEnd w:id="2"/>
    </w:p>
    <w:p w:rsidR="005A19E3" w:rsidRPr="005A19E3" w:rsidRDefault="00735748">
      <w:pPr>
        <w:pStyle w:val="Obsah1"/>
        <w:tabs>
          <w:tab w:val="right" w:leader="dot" w:pos="9062"/>
        </w:tabs>
        <w:rPr>
          <w:noProof/>
          <w:sz w:val="24"/>
          <w:szCs w:val="24"/>
          <w:lang w:val="cs-CZ" w:eastAsia="cs-CZ" w:bidi="ar-SA"/>
        </w:rPr>
      </w:pPr>
      <w:r w:rsidRPr="005A19E3">
        <w:rPr>
          <w:sz w:val="24"/>
          <w:szCs w:val="24"/>
          <w:lang w:val="cs-CZ"/>
        </w:rPr>
        <w:fldChar w:fldCharType="begin"/>
      </w:r>
      <w:r w:rsidRPr="005A19E3">
        <w:rPr>
          <w:sz w:val="24"/>
          <w:szCs w:val="24"/>
          <w:lang w:val="cs-CZ"/>
        </w:rPr>
        <w:instrText xml:space="preserve"> TOC \o "1-2" \h \z \u </w:instrText>
      </w:r>
      <w:r w:rsidRPr="005A19E3">
        <w:rPr>
          <w:sz w:val="24"/>
          <w:szCs w:val="24"/>
          <w:lang w:val="cs-CZ"/>
        </w:rPr>
        <w:fldChar w:fldCharType="separate"/>
      </w:r>
      <w:hyperlink w:anchor="_Toc525944486" w:history="1">
        <w:r w:rsidR="005A19E3" w:rsidRPr="005A19E3">
          <w:rPr>
            <w:rStyle w:val="Hypertextovodkaz"/>
            <w:b/>
            <w:noProof/>
            <w:sz w:val="24"/>
            <w:szCs w:val="24"/>
          </w:rPr>
          <w:t>Manažerské shrnutí</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_Toc525944486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1</w:t>
        </w:r>
        <w:r w:rsidR="005A19E3" w:rsidRPr="005A19E3">
          <w:rPr>
            <w:noProof/>
            <w:webHidden/>
            <w:sz w:val="24"/>
            <w:szCs w:val="24"/>
          </w:rPr>
          <w:fldChar w:fldCharType="end"/>
        </w:r>
      </w:hyperlink>
    </w:p>
    <w:p w:rsidR="005A19E3" w:rsidRPr="005A19E3" w:rsidRDefault="005A1CC4">
      <w:pPr>
        <w:pStyle w:val="Obsah1"/>
        <w:tabs>
          <w:tab w:val="right" w:leader="dot" w:pos="9062"/>
        </w:tabs>
        <w:rPr>
          <w:noProof/>
          <w:sz w:val="24"/>
          <w:szCs w:val="24"/>
          <w:lang w:val="cs-CZ" w:eastAsia="cs-CZ" w:bidi="ar-SA"/>
        </w:rPr>
      </w:pPr>
      <w:hyperlink w:anchor="_Toc525944487" w:history="1">
        <w:r w:rsidR="005A19E3" w:rsidRPr="005A19E3">
          <w:rPr>
            <w:rStyle w:val="Hypertextovodkaz"/>
            <w:b/>
            <w:noProof/>
            <w:sz w:val="24"/>
            <w:szCs w:val="24"/>
          </w:rPr>
          <w:t>Obsah</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_Toc525944487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3</w:t>
        </w:r>
        <w:r w:rsidR="005A19E3" w:rsidRPr="005A19E3">
          <w:rPr>
            <w:noProof/>
            <w:webHidden/>
            <w:sz w:val="24"/>
            <w:szCs w:val="24"/>
          </w:rPr>
          <w:fldChar w:fldCharType="end"/>
        </w:r>
      </w:hyperlink>
    </w:p>
    <w:p w:rsidR="005A19E3" w:rsidRPr="005A19E3" w:rsidRDefault="005A1CC4">
      <w:pPr>
        <w:pStyle w:val="Obsah1"/>
        <w:tabs>
          <w:tab w:val="right" w:leader="dot" w:pos="9062"/>
        </w:tabs>
        <w:rPr>
          <w:noProof/>
          <w:sz w:val="24"/>
          <w:szCs w:val="24"/>
          <w:lang w:val="cs-CZ" w:eastAsia="cs-CZ" w:bidi="ar-SA"/>
        </w:rPr>
      </w:pPr>
      <w:hyperlink w:anchor="_Toc525944488" w:history="1">
        <w:r w:rsidR="005A19E3" w:rsidRPr="005A19E3">
          <w:rPr>
            <w:rStyle w:val="Hypertextovodkaz"/>
            <w:b/>
            <w:noProof/>
            <w:sz w:val="24"/>
            <w:szCs w:val="24"/>
          </w:rPr>
          <w:t>O dokumentu</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_Toc525944488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5</w:t>
        </w:r>
        <w:r w:rsidR="005A19E3" w:rsidRPr="005A19E3">
          <w:rPr>
            <w:noProof/>
            <w:webHidden/>
            <w:sz w:val="24"/>
            <w:szCs w:val="24"/>
          </w:rPr>
          <w:fldChar w:fldCharType="end"/>
        </w:r>
      </w:hyperlink>
    </w:p>
    <w:p w:rsidR="005A19E3" w:rsidRPr="005A19E3" w:rsidRDefault="005A1CC4">
      <w:pPr>
        <w:pStyle w:val="Obsah1"/>
        <w:tabs>
          <w:tab w:val="right" w:leader="dot" w:pos="9062"/>
        </w:tabs>
        <w:rPr>
          <w:noProof/>
          <w:sz w:val="24"/>
          <w:szCs w:val="24"/>
          <w:lang w:val="cs-CZ" w:eastAsia="cs-CZ" w:bidi="ar-SA"/>
        </w:rPr>
      </w:pPr>
      <w:hyperlink w:anchor="_Toc525944489" w:history="1">
        <w:r w:rsidR="005A19E3" w:rsidRPr="005A19E3">
          <w:rPr>
            <w:rStyle w:val="Hypertextovodkaz"/>
            <w:b/>
            <w:noProof/>
            <w:sz w:val="24"/>
            <w:szCs w:val="24"/>
          </w:rPr>
          <w:t>Souhrnné hodnocení zdravotních pojišťoven</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_Toc525944489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6</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0" w:history="1">
        <w:r w:rsidR="005A19E3" w:rsidRPr="005A19E3">
          <w:rPr>
            <w:rStyle w:val="Hypertextovodkaz"/>
            <w:noProof/>
            <w:sz w:val="24"/>
            <w:szCs w:val="24"/>
          </w:rPr>
          <w:t>Veřejné zdravotní pojištění a zdravotní pojišťovny</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_Toc525944490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6</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1" w:history="1">
        <w:r w:rsidR="005A19E3" w:rsidRPr="005A19E3">
          <w:rPr>
            <w:rStyle w:val="Hypertextovodkaz"/>
            <w:noProof/>
            <w:sz w:val="24"/>
            <w:szCs w:val="24"/>
          </w:rPr>
          <w:t>Základní faktory vývoje v roce 2018</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_Toc525944491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6</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2" w:history="1">
        <w:r w:rsidR="005A19E3" w:rsidRPr="005A19E3">
          <w:rPr>
            <w:rStyle w:val="Hypertextovodkaz"/>
            <w:noProof/>
            <w:sz w:val="24"/>
            <w:szCs w:val="24"/>
          </w:rPr>
          <w:t>Příjmy</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_Toc525944492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7</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3" w:history="1">
        <w:r w:rsidR="005A19E3" w:rsidRPr="005A19E3">
          <w:rPr>
            <w:rStyle w:val="Hypertextovodkaz"/>
            <w:noProof/>
            <w:sz w:val="24"/>
            <w:szCs w:val="24"/>
          </w:rPr>
          <w:t>Výdaje</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_Toc525944493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7</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4" w:history="1">
        <w:r w:rsidR="005A19E3" w:rsidRPr="005A19E3">
          <w:rPr>
            <w:rStyle w:val="Hypertextovodkaz"/>
            <w:noProof/>
            <w:sz w:val="24"/>
            <w:szCs w:val="24"/>
          </w:rPr>
          <w:t>Saldo</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_Toc525944494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7</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5" w:history="1">
        <w:r w:rsidR="005A19E3" w:rsidRPr="005A19E3">
          <w:rPr>
            <w:rStyle w:val="Hypertextovodkaz"/>
            <w:noProof/>
            <w:sz w:val="24"/>
            <w:szCs w:val="24"/>
          </w:rPr>
          <w:t>Peněžní prostředky</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_Toc525944495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8</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7" w:history="1">
        <w:r w:rsidR="005A19E3" w:rsidRPr="005A19E3">
          <w:rPr>
            <w:rStyle w:val="Hypertextovodkaz"/>
            <w:noProof/>
            <w:sz w:val="24"/>
            <w:szCs w:val="24"/>
          </w:rPr>
          <w:t>Hospodaření</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_Toc525944497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9</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8" w:history="1">
        <w:r w:rsidR="005A19E3" w:rsidRPr="005A19E3">
          <w:rPr>
            <w:rStyle w:val="Hypertextovodkaz"/>
            <w:noProof/>
            <w:sz w:val="24"/>
            <w:szCs w:val="24"/>
          </w:rPr>
          <w:t>Komparace zdravotních pojišťoven</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_Toc525944498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10</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499" w:history="1">
        <w:r w:rsidR="005A19E3" w:rsidRPr="005A19E3">
          <w:rPr>
            <w:rStyle w:val="Hypertextovodkaz"/>
            <w:noProof/>
            <w:sz w:val="24"/>
            <w:szCs w:val="24"/>
          </w:rPr>
          <w:t>Shrnutí</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_Toc525944499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12</w:t>
        </w:r>
        <w:r w:rsidR="005A19E3" w:rsidRPr="005A19E3">
          <w:rPr>
            <w:noProof/>
            <w:webHidden/>
            <w:sz w:val="24"/>
            <w:szCs w:val="24"/>
          </w:rPr>
          <w:fldChar w:fldCharType="end"/>
        </w:r>
      </w:hyperlink>
    </w:p>
    <w:p w:rsidR="005A19E3" w:rsidRPr="005A19E3" w:rsidRDefault="005A1CC4">
      <w:pPr>
        <w:pStyle w:val="Obsah1"/>
        <w:tabs>
          <w:tab w:val="right" w:leader="dot" w:pos="9062"/>
        </w:tabs>
        <w:rPr>
          <w:noProof/>
          <w:sz w:val="24"/>
          <w:szCs w:val="24"/>
          <w:lang w:val="cs-CZ" w:eastAsia="cs-CZ" w:bidi="ar-SA"/>
        </w:rPr>
      </w:pPr>
      <w:hyperlink w:anchor="_Toc525944500" w:history="1">
        <w:r w:rsidR="005A19E3" w:rsidRPr="005A19E3">
          <w:rPr>
            <w:rStyle w:val="Hypertextovodkaz"/>
            <w:b/>
            <w:noProof/>
            <w:sz w:val="24"/>
            <w:szCs w:val="24"/>
          </w:rPr>
          <w:t>Hodnocení jednotlivých zdravotních pojišťoven</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_Toc525944500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13</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1" w:history="1">
        <w:r w:rsidR="005A19E3" w:rsidRPr="005A19E3">
          <w:rPr>
            <w:rStyle w:val="Hypertextovodkaz"/>
            <w:noProof/>
            <w:sz w:val="24"/>
            <w:szCs w:val="24"/>
          </w:rPr>
          <w:t>Všeobecná zdravotní pojišťovna ČR (VZP ČR)</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_Toc525944501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13</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2" w:history="1">
        <w:r w:rsidR="005A19E3" w:rsidRPr="005A19E3">
          <w:rPr>
            <w:rStyle w:val="Hypertextovodkaz"/>
            <w:noProof/>
            <w:sz w:val="24"/>
            <w:szCs w:val="24"/>
          </w:rPr>
          <w:t>Vojenská zdravotní pojišťovna ČR (VoZP ČR)</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_Toc525944502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16</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3" w:history="1">
        <w:r w:rsidR="005A19E3" w:rsidRPr="005A19E3">
          <w:rPr>
            <w:rStyle w:val="Hypertextovodkaz"/>
            <w:noProof/>
            <w:sz w:val="24"/>
            <w:szCs w:val="24"/>
          </w:rPr>
          <w:t>Česká průmyslová zdravotní pojišťovna (ČPZP)</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_Toc525944503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20</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4" w:history="1">
        <w:r w:rsidR="005A19E3" w:rsidRPr="005A19E3">
          <w:rPr>
            <w:rStyle w:val="Hypertextovodkaz"/>
            <w:noProof/>
            <w:sz w:val="24"/>
            <w:szCs w:val="24"/>
          </w:rPr>
          <w:t>Oborová zdravotní pojišťovna (OZP)</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_Toc525944504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23</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5" w:history="1">
        <w:r w:rsidR="005A19E3" w:rsidRPr="005A19E3">
          <w:rPr>
            <w:rStyle w:val="Hypertextovodkaz"/>
            <w:noProof/>
            <w:sz w:val="24"/>
            <w:szCs w:val="24"/>
          </w:rPr>
          <w:t>Zaměstnanecká pojišťovna Škoda (ZPŠ)</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_Toc525944505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26</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6" w:history="1">
        <w:r w:rsidR="005A19E3" w:rsidRPr="005A19E3">
          <w:rPr>
            <w:rStyle w:val="Hypertextovodkaz"/>
            <w:noProof/>
            <w:sz w:val="24"/>
            <w:szCs w:val="24"/>
          </w:rPr>
          <w:t>Zdravotní pojišťovna ministerstva vnitra ČR (ZP MV ČR)</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_Toc525944506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30</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7" w:history="1">
        <w:r w:rsidR="005A19E3" w:rsidRPr="005A19E3">
          <w:rPr>
            <w:rStyle w:val="Hypertextovodkaz"/>
            <w:noProof/>
            <w:sz w:val="24"/>
            <w:szCs w:val="24"/>
          </w:rPr>
          <w:t>Revírní bratrská pokladna, zdravotní pojišťovna (RBP)</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_Toc525944507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34</w:t>
        </w:r>
        <w:r w:rsidR="005A19E3" w:rsidRPr="005A19E3">
          <w:rPr>
            <w:noProof/>
            <w:webHidden/>
            <w:sz w:val="24"/>
            <w:szCs w:val="24"/>
          </w:rPr>
          <w:fldChar w:fldCharType="end"/>
        </w:r>
      </w:hyperlink>
    </w:p>
    <w:p w:rsidR="005A19E3" w:rsidRPr="005A19E3" w:rsidRDefault="005A1CC4">
      <w:pPr>
        <w:pStyle w:val="Obsah1"/>
        <w:tabs>
          <w:tab w:val="right" w:leader="dot" w:pos="9062"/>
        </w:tabs>
        <w:rPr>
          <w:noProof/>
          <w:sz w:val="24"/>
          <w:szCs w:val="24"/>
          <w:lang w:val="cs-CZ" w:eastAsia="cs-CZ" w:bidi="ar-SA"/>
        </w:rPr>
      </w:pPr>
      <w:hyperlink w:anchor="_Toc525944508" w:history="1">
        <w:r w:rsidR="005A19E3" w:rsidRPr="005A19E3">
          <w:rPr>
            <w:rStyle w:val="Hypertextovodkaz"/>
            <w:b/>
            <w:noProof/>
            <w:sz w:val="24"/>
            <w:szCs w:val="24"/>
          </w:rPr>
          <w:t>K obsahu dokumentu</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_Toc525944508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38</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09" w:history="1">
        <w:r w:rsidR="005A19E3" w:rsidRPr="005A19E3">
          <w:rPr>
            <w:rStyle w:val="Hypertextovodkaz"/>
            <w:noProof/>
            <w:sz w:val="24"/>
            <w:szCs w:val="24"/>
          </w:rPr>
          <w:t>Použité zkratky</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_Toc525944509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38</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10" w:history="1">
        <w:r w:rsidR="005A19E3" w:rsidRPr="005A19E3">
          <w:rPr>
            <w:rStyle w:val="Hypertextovodkaz"/>
            <w:noProof/>
            <w:sz w:val="24"/>
            <w:szCs w:val="24"/>
          </w:rPr>
          <w:t>Zdroje</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_Toc525944510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40</w:t>
        </w:r>
        <w:r w:rsidR="005A19E3" w:rsidRPr="005A19E3">
          <w:rPr>
            <w:noProof/>
            <w:webHidden/>
            <w:sz w:val="24"/>
            <w:szCs w:val="24"/>
          </w:rPr>
          <w:fldChar w:fldCharType="end"/>
        </w:r>
      </w:hyperlink>
    </w:p>
    <w:p w:rsidR="005A19E3" w:rsidRPr="005A19E3" w:rsidRDefault="005A1CC4">
      <w:pPr>
        <w:pStyle w:val="Obsah2"/>
        <w:tabs>
          <w:tab w:val="right" w:leader="dot" w:pos="9062"/>
        </w:tabs>
        <w:rPr>
          <w:noProof/>
          <w:sz w:val="24"/>
          <w:szCs w:val="24"/>
          <w:lang w:val="cs-CZ" w:eastAsia="cs-CZ" w:bidi="ar-SA"/>
        </w:rPr>
      </w:pPr>
      <w:hyperlink w:anchor="_Toc525944511" w:history="1">
        <w:r w:rsidR="005A19E3" w:rsidRPr="005A19E3">
          <w:rPr>
            <w:rStyle w:val="Hypertextovodkaz"/>
            <w:noProof/>
            <w:sz w:val="24"/>
            <w:szCs w:val="24"/>
          </w:rPr>
          <w:t>Seznam tabulek a grafů</w:t>
        </w:r>
        <w:r w:rsidR="005A19E3" w:rsidRPr="005A19E3">
          <w:rPr>
            <w:noProof/>
            <w:webHidden/>
            <w:sz w:val="24"/>
            <w:szCs w:val="24"/>
          </w:rPr>
          <w:tab/>
        </w:r>
        <w:r w:rsidR="005A19E3" w:rsidRPr="005A19E3">
          <w:rPr>
            <w:noProof/>
            <w:webHidden/>
            <w:sz w:val="24"/>
            <w:szCs w:val="24"/>
          </w:rPr>
          <w:fldChar w:fldCharType="begin"/>
        </w:r>
        <w:r w:rsidR="005A19E3" w:rsidRPr="005A19E3">
          <w:rPr>
            <w:noProof/>
            <w:webHidden/>
            <w:sz w:val="24"/>
            <w:szCs w:val="24"/>
          </w:rPr>
          <w:instrText xml:space="preserve"> PAGEREF _Toc525944511 \h </w:instrText>
        </w:r>
        <w:r w:rsidR="005A19E3" w:rsidRPr="005A19E3">
          <w:rPr>
            <w:noProof/>
            <w:webHidden/>
            <w:sz w:val="24"/>
            <w:szCs w:val="24"/>
          </w:rPr>
        </w:r>
        <w:r w:rsidR="005A19E3" w:rsidRPr="005A19E3">
          <w:rPr>
            <w:noProof/>
            <w:webHidden/>
            <w:sz w:val="24"/>
            <w:szCs w:val="24"/>
          </w:rPr>
          <w:fldChar w:fldCharType="separate"/>
        </w:r>
        <w:r w:rsidR="005A19E3" w:rsidRPr="005A19E3">
          <w:rPr>
            <w:noProof/>
            <w:webHidden/>
            <w:sz w:val="24"/>
            <w:szCs w:val="24"/>
          </w:rPr>
          <w:t>40</w:t>
        </w:r>
        <w:r w:rsidR="005A19E3" w:rsidRPr="005A19E3">
          <w:rPr>
            <w:noProof/>
            <w:webHidden/>
            <w:sz w:val="24"/>
            <w:szCs w:val="24"/>
          </w:rPr>
          <w:fldChar w:fldCharType="end"/>
        </w:r>
      </w:hyperlink>
    </w:p>
    <w:p w:rsidR="00C65013" w:rsidRPr="001D032A" w:rsidRDefault="00735748" w:rsidP="00C65013">
      <w:r w:rsidRPr="005A19E3">
        <w:rPr>
          <w:sz w:val="24"/>
          <w:szCs w:val="24"/>
        </w:rPr>
        <w:fldChar w:fldCharType="end"/>
      </w:r>
    </w:p>
    <w:p w:rsidR="00C65013" w:rsidRPr="001D032A" w:rsidRDefault="00C65013">
      <w:r w:rsidRPr="001D032A">
        <w:br w:type="page"/>
      </w:r>
    </w:p>
    <w:p w:rsidR="00C65013" w:rsidRPr="001D032A" w:rsidRDefault="00C65013" w:rsidP="00C65013">
      <w:pPr>
        <w:pStyle w:val="Nadpis1"/>
        <w:rPr>
          <w:b/>
        </w:rPr>
      </w:pPr>
      <w:bookmarkStart w:id="3" w:name="_Toc525944488"/>
      <w:r w:rsidRPr="001D032A">
        <w:rPr>
          <w:b/>
        </w:rPr>
        <w:lastRenderedPageBreak/>
        <w:t>O dokumentu</w:t>
      </w:r>
      <w:bookmarkEnd w:id="3"/>
    </w:p>
    <w:p w:rsidR="00D463E7" w:rsidRPr="001D032A" w:rsidRDefault="00D463E7" w:rsidP="00D463E7">
      <w:pPr>
        <w:jc w:val="both"/>
        <w:rPr>
          <w:sz w:val="24"/>
          <w:szCs w:val="24"/>
        </w:rPr>
      </w:pPr>
      <w:r w:rsidRPr="001D032A">
        <w:rPr>
          <w:sz w:val="24"/>
          <w:szCs w:val="24"/>
        </w:rPr>
        <w:t>Předkládaný souhrn analytických materiálů si klade za cíl zhodnotit finanční situaci zdravotních pojišťoven v České republice a snaží se ukázat, jakým způsobem se celý systém veřejného zdravotního pojištění bude vyvíjet v roce 201</w:t>
      </w:r>
      <w:r w:rsidR="00D31E7C" w:rsidRPr="001D032A">
        <w:rPr>
          <w:sz w:val="24"/>
          <w:szCs w:val="24"/>
        </w:rPr>
        <w:t>8</w:t>
      </w:r>
      <w:r w:rsidRPr="001D032A">
        <w:rPr>
          <w:sz w:val="24"/>
          <w:szCs w:val="24"/>
        </w:rPr>
        <w:t>. Předkládaný dokument tak přímo navazuje na Ekonomické analýzy zdravotních pojišťoven v České republice pro roky 2015</w:t>
      </w:r>
      <w:r w:rsidR="00D31E7C" w:rsidRPr="001D032A">
        <w:rPr>
          <w:sz w:val="24"/>
          <w:szCs w:val="24"/>
        </w:rPr>
        <w:t xml:space="preserve">, </w:t>
      </w:r>
      <w:r w:rsidRPr="001D032A">
        <w:rPr>
          <w:sz w:val="24"/>
          <w:szCs w:val="24"/>
        </w:rPr>
        <w:t>2016</w:t>
      </w:r>
      <w:r w:rsidR="00D31E7C" w:rsidRPr="001D032A">
        <w:rPr>
          <w:sz w:val="24"/>
          <w:szCs w:val="24"/>
        </w:rPr>
        <w:t xml:space="preserve"> a 2017</w:t>
      </w:r>
      <w:r w:rsidRPr="001D032A">
        <w:rPr>
          <w:sz w:val="24"/>
          <w:szCs w:val="24"/>
        </w:rPr>
        <w:t>.</w:t>
      </w:r>
    </w:p>
    <w:p w:rsidR="00D463E7" w:rsidRPr="001D032A" w:rsidRDefault="00D463E7" w:rsidP="00D463E7">
      <w:pPr>
        <w:jc w:val="both"/>
        <w:rPr>
          <w:sz w:val="24"/>
          <w:szCs w:val="24"/>
        </w:rPr>
      </w:pPr>
      <w:r w:rsidRPr="001D032A">
        <w:rPr>
          <w:sz w:val="24"/>
          <w:szCs w:val="24"/>
        </w:rPr>
        <w:t xml:space="preserve">Materiál využívá dat i celých textů ze zdravotních pojistných plánů jednotlivých zdravotních pojišťoven působících v České republice a hodnocení těchto plánů, které zpracovalo Ministerstvo zdravotnictví ČR při využití dat dalších resortů, především Ministerstva financí ČR. Materiál dále pracuje s výročními zprávami jednotlivých zdravotních pojišťoven a dalšími relevantními zdroji, které jsou uvedeny v závěru práce. </w:t>
      </w:r>
    </w:p>
    <w:p w:rsidR="00D463E7" w:rsidRPr="001D032A" w:rsidRDefault="00D463E7" w:rsidP="00D463E7">
      <w:pPr>
        <w:jc w:val="both"/>
        <w:rPr>
          <w:sz w:val="24"/>
          <w:szCs w:val="24"/>
        </w:rPr>
      </w:pPr>
      <w:r w:rsidRPr="001D032A">
        <w:rPr>
          <w:sz w:val="24"/>
          <w:szCs w:val="24"/>
        </w:rPr>
        <w:t xml:space="preserve">Text nemá povahu vědecké práce ale komparativní analýzy založené na finančních ukazatelích jednotlivých zdravotních pojišťoven. Materiál může sloužit k finanční analýze zdravotního pojištění v České republice, pro manažerská rozhodování zdravotních pojišťoven a organizací na ně navázaných a v neposlední řadě i pro širší veřejnost, která by měla být seznámena s vývojem jednoho z nejdůležitějších systémů v zemi. </w:t>
      </w:r>
    </w:p>
    <w:p w:rsidR="00C65013" w:rsidRPr="001D032A" w:rsidRDefault="00D463E7" w:rsidP="00D463E7">
      <w:pPr>
        <w:jc w:val="both"/>
        <w:rPr>
          <w:sz w:val="24"/>
          <w:szCs w:val="24"/>
        </w:rPr>
      </w:pPr>
      <w:r w:rsidRPr="001D032A">
        <w:rPr>
          <w:sz w:val="24"/>
          <w:szCs w:val="24"/>
        </w:rPr>
        <w:t>Autor je přesvědčen, že zlepšení informovanosti v sektoru zdravotnických služeb může vést k lepšímu rozhodování subjektů působících na tomto trhu, a to ať již se jedná o firmy či koncové klienty, kteří mají právo vědět, jak zdravotní pojišťovny hospodaří.</w:t>
      </w:r>
    </w:p>
    <w:p w:rsidR="00D463E7" w:rsidRPr="001D032A" w:rsidRDefault="00D463E7" w:rsidP="00D463E7">
      <w:pPr>
        <w:jc w:val="both"/>
        <w:rPr>
          <w:sz w:val="24"/>
          <w:szCs w:val="24"/>
        </w:rPr>
      </w:pPr>
    </w:p>
    <w:p w:rsidR="00C65013" w:rsidRPr="001D032A" w:rsidRDefault="00C65013">
      <w:r w:rsidRPr="001D032A">
        <w:br w:type="page"/>
      </w:r>
    </w:p>
    <w:p w:rsidR="008D172B" w:rsidRPr="001D032A" w:rsidRDefault="008D172B" w:rsidP="008D172B">
      <w:pPr>
        <w:pStyle w:val="Nadpis1"/>
        <w:rPr>
          <w:b/>
        </w:rPr>
      </w:pPr>
      <w:bookmarkStart w:id="4" w:name="_Toc460456829"/>
      <w:bookmarkStart w:id="5" w:name="_Toc525944489"/>
      <w:r w:rsidRPr="001D032A">
        <w:rPr>
          <w:b/>
        </w:rPr>
        <w:lastRenderedPageBreak/>
        <w:t>Souhrnné hodnocení zdravotních pojišťoven</w:t>
      </w:r>
      <w:bookmarkEnd w:id="4"/>
      <w:bookmarkEnd w:id="5"/>
    </w:p>
    <w:p w:rsidR="00CE6FBC" w:rsidRPr="001D032A" w:rsidRDefault="00CE6FBC" w:rsidP="008D172B">
      <w:pPr>
        <w:pStyle w:val="Nadpis2"/>
      </w:pPr>
      <w:bookmarkStart w:id="6" w:name="_Toc460456830"/>
    </w:p>
    <w:p w:rsidR="008D172B" w:rsidRPr="001D032A" w:rsidRDefault="008D172B" w:rsidP="008D172B">
      <w:pPr>
        <w:pStyle w:val="Nadpis2"/>
      </w:pPr>
      <w:bookmarkStart w:id="7" w:name="_Toc525944490"/>
      <w:r w:rsidRPr="001D032A">
        <w:t>Veřejné zdravotní pojištění a zdravotní pojišťovny</w:t>
      </w:r>
      <w:bookmarkEnd w:id="6"/>
      <w:bookmarkEnd w:id="7"/>
    </w:p>
    <w:p w:rsidR="008D172B" w:rsidRPr="001D032A" w:rsidRDefault="008D172B" w:rsidP="003E1B90">
      <w:pPr>
        <w:jc w:val="both"/>
        <w:rPr>
          <w:sz w:val="24"/>
          <w:szCs w:val="24"/>
        </w:rPr>
      </w:pPr>
      <w:r w:rsidRPr="001D032A">
        <w:rPr>
          <w:sz w:val="24"/>
          <w:szCs w:val="24"/>
        </w:rPr>
        <w:t xml:space="preserve">Dle údajů Ministerstva zdravotnictví České republiky působí na našem území 7 činných zdravotních pojišťoven. Jedná se o následující subjekty: </w:t>
      </w:r>
    </w:p>
    <w:p w:rsidR="008D172B" w:rsidRPr="001D032A" w:rsidRDefault="005A1CC4" w:rsidP="003E1B90">
      <w:pPr>
        <w:pStyle w:val="Odstavecseseznamem"/>
        <w:numPr>
          <w:ilvl w:val="0"/>
          <w:numId w:val="36"/>
        </w:numPr>
        <w:jc w:val="both"/>
        <w:rPr>
          <w:rFonts w:cstheme="minorHAnsi"/>
          <w:sz w:val="24"/>
          <w:szCs w:val="24"/>
          <w:lang w:val="cs-CZ"/>
        </w:rPr>
      </w:pPr>
      <w:hyperlink r:id="rId9" w:history="1">
        <w:r w:rsidR="008D172B" w:rsidRPr="001D032A">
          <w:rPr>
            <w:rStyle w:val="TEXT1ODChar"/>
            <w:rFonts w:eastAsiaTheme="majorEastAsia" w:cstheme="minorHAnsi"/>
            <w:lang w:val="cs-CZ"/>
          </w:rPr>
          <w:t>Všeobecná zdravotní pojišťovna ČR</w:t>
        </w:r>
      </w:hyperlink>
      <w:r w:rsidR="008D172B" w:rsidRPr="001D032A">
        <w:rPr>
          <w:rFonts w:cstheme="minorHAnsi"/>
          <w:sz w:val="24"/>
          <w:szCs w:val="24"/>
          <w:lang w:val="cs-CZ"/>
        </w:rPr>
        <w:t xml:space="preserve"> (VZP ČR)</w:t>
      </w:r>
    </w:p>
    <w:p w:rsidR="008D172B" w:rsidRPr="001D032A" w:rsidRDefault="005A1CC4" w:rsidP="003E1B90">
      <w:pPr>
        <w:pStyle w:val="Odstavecseseznamem"/>
        <w:numPr>
          <w:ilvl w:val="0"/>
          <w:numId w:val="36"/>
        </w:numPr>
        <w:jc w:val="both"/>
        <w:rPr>
          <w:rFonts w:cstheme="minorHAnsi"/>
          <w:sz w:val="24"/>
          <w:szCs w:val="24"/>
          <w:lang w:val="cs-CZ"/>
        </w:rPr>
      </w:pPr>
      <w:hyperlink r:id="rId10" w:history="1">
        <w:r w:rsidR="008D172B" w:rsidRPr="001D032A">
          <w:rPr>
            <w:rStyle w:val="TEXT1ODChar"/>
            <w:rFonts w:eastAsiaTheme="majorEastAsia" w:cstheme="minorHAnsi"/>
            <w:lang w:val="cs-CZ"/>
          </w:rPr>
          <w:t>Vojenská zdravotní pojišťovna ČR</w:t>
        </w:r>
      </w:hyperlink>
      <w:r w:rsidR="008D172B" w:rsidRPr="001D032A">
        <w:rPr>
          <w:rFonts w:cstheme="minorHAnsi"/>
          <w:sz w:val="24"/>
          <w:szCs w:val="24"/>
          <w:lang w:val="cs-CZ"/>
        </w:rPr>
        <w:t xml:space="preserve"> (VoZP ČR)</w:t>
      </w:r>
    </w:p>
    <w:p w:rsidR="008D172B" w:rsidRPr="001D032A" w:rsidRDefault="005A1CC4" w:rsidP="003E1B90">
      <w:pPr>
        <w:pStyle w:val="Odstavecseseznamem"/>
        <w:numPr>
          <w:ilvl w:val="0"/>
          <w:numId w:val="36"/>
        </w:numPr>
        <w:jc w:val="both"/>
        <w:rPr>
          <w:rFonts w:cstheme="minorHAnsi"/>
          <w:sz w:val="24"/>
          <w:szCs w:val="24"/>
          <w:lang w:val="cs-CZ"/>
        </w:rPr>
      </w:pPr>
      <w:hyperlink r:id="rId11" w:history="1">
        <w:r w:rsidR="008D172B" w:rsidRPr="001D032A">
          <w:rPr>
            <w:rStyle w:val="TEXT1ODChar"/>
            <w:rFonts w:eastAsiaTheme="majorEastAsia" w:cstheme="minorHAnsi"/>
            <w:lang w:val="cs-CZ"/>
          </w:rPr>
          <w:t>Česká průmyslová zdravotní pojišťovna</w:t>
        </w:r>
      </w:hyperlink>
      <w:r w:rsidR="008D172B" w:rsidRPr="001D032A">
        <w:rPr>
          <w:rFonts w:cstheme="minorHAnsi"/>
          <w:sz w:val="24"/>
          <w:szCs w:val="24"/>
          <w:lang w:val="cs-CZ"/>
        </w:rPr>
        <w:t xml:space="preserve"> (ČPZP)</w:t>
      </w:r>
    </w:p>
    <w:p w:rsidR="008D172B" w:rsidRPr="001D032A" w:rsidRDefault="005A1CC4" w:rsidP="003E1B90">
      <w:pPr>
        <w:pStyle w:val="Odstavecseseznamem"/>
        <w:numPr>
          <w:ilvl w:val="0"/>
          <w:numId w:val="36"/>
        </w:numPr>
        <w:jc w:val="both"/>
        <w:rPr>
          <w:rFonts w:cstheme="minorHAnsi"/>
          <w:sz w:val="24"/>
          <w:szCs w:val="24"/>
          <w:lang w:val="cs-CZ"/>
        </w:rPr>
      </w:pPr>
      <w:hyperlink r:id="rId12" w:history="1">
        <w:r w:rsidR="008D172B" w:rsidRPr="001D032A">
          <w:rPr>
            <w:rStyle w:val="TEXT1ODChar"/>
            <w:rFonts w:eastAsiaTheme="majorEastAsia" w:cstheme="minorHAnsi"/>
            <w:lang w:val="cs-CZ"/>
          </w:rPr>
          <w:t>Oborová zdravotní pojišťovna zaměstnanců bank, pojišťoven a stavebnictví</w:t>
        </w:r>
      </w:hyperlink>
      <w:r w:rsidR="008D172B" w:rsidRPr="001D032A">
        <w:rPr>
          <w:rFonts w:cstheme="minorHAnsi"/>
          <w:sz w:val="24"/>
          <w:szCs w:val="24"/>
          <w:lang w:val="cs-CZ"/>
        </w:rPr>
        <w:t xml:space="preserve"> (OZP)</w:t>
      </w:r>
    </w:p>
    <w:p w:rsidR="008D172B" w:rsidRPr="001D032A" w:rsidRDefault="005A1CC4" w:rsidP="003E1B90">
      <w:pPr>
        <w:pStyle w:val="Odstavecseseznamem"/>
        <w:numPr>
          <w:ilvl w:val="0"/>
          <w:numId w:val="36"/>
        </w:numPr>
        <w:jc w:val="both"/>
        <w:rPr>
          <w:rFonts w:cstheme="minorHAnsi"/>
          <w:sz w:val="24"/>
          <w:szCs w:val="24"/>
          <w:lang w:val="cs-CZ"/>
        </w:rPr>
      </w:pPr>
      <w:hyperlink r:id="rId13" w:history="1">
        <w:r w:rsidR="008D172B" w:rsidRPr="001D032A">
          <w:rPr>
            <w:rStyle w:val="TEXT1ODChar"/>
            <w:rFonts w:eastAsiaTheme="majorEastAsia" w:cstheme="minorHAnsi"/>
            <w:lang w:val="cs-CZ"/>
          </w:rPr>
          <w:t>Zaměstnanecká pojišťovna Škoda</w:t>
        </w:r>
      </w:hyperlink>
      <w:r w:rsidR="008D172B" w:rsidRPr="001D032A">
        <w:rPr>
          <w:rFonts w:cstheme="minorHAnsi"/>
          <w:sz w:val="24"/>
          <w:szCs w:val="24"/>
          <w:lang w:val="cs-CZ"/>
        </w:rPr>
        <w:t xml:space="preserve"> (ZPŠ)</w:t>
      </w:r>
    </w:p>
    <w:p w:rsidR="008D172B" w:rsidRPr="001D032A" w:rsidRDefault="005A1CC4" w:rsidP="003E1B90">
      <w:pPr>
        <w:pStyle w:val="Odstavecseseznamem"/>
        <w:numPr>
          <w:ilvl w:val="0"/>
          <w:numId w:val="36"/>
        </w:numPr>
        <w:jc w:val="both"/>
        <w:rPr>
          <w:rFonts w:cstheme="minorHAnsi"/>
          <w:sz w:val="24"/>
          <w:szCs w:val="24"/>
          <w:lang w:val="cs-CZ"/>
        </w:rPr>
      </w:pPr>
      <w:hyperlink r:id="rId14" w:history="1">
        <w:r w:rsidR="008D172B" w:rsidRPr="001D032A">
          <w:rPr>
            <w:rStyle w:val="TEXT1ODChar"/>
            <w:rFonts w:eastAsiaTheme="majorEastAsia" w:cstheme="minorHAnsi"/>
            <w:lang w:val="cs-CZ"/>
          </w:rPr>
          <w:t>Zdravotní pojišťovna ministerstva vnitra ČR</w:t>
        </w:r>
      </w:hyperlink>
      <w:r w:rsidR="008D172B" w:rsidRPr="001D032A">
        <w:rPr>
          <w:rFonts w:cstheme="minorHAnsi"/>
          <w:sz w:val="24"/>
          <w:szCs w:val="24"/>
          <w:lang w:val="cs-CZ"/>
        </w:rPr>
        <w:t xml:space="preserve"> (ZP MV ČR)</w:t>
      </w:r>
    </w:p>
    <w:p w:rsidR="008D172B" w:rsidRPr="001D032A" w:rsidRDefault="005A1CC4" w:rsidP="003E1B90">
      <w:pPr>
        <w:pStyle w:val="Odstavecseseznamem"/>
        <w:numPr>
          <w:ilvl w:val="0"/>
          <w:numId w:val="36"/>
        </w:numPr>
        <w:jc w:val="both"/>
        <w:rPr>
          <w:rFonts w:cstheme="minorHAnsi"/>
          <w:sz w:val="24"/>
          <w:szCs w:val="24"/>
          <w:lang w:val="cs-CZ"/>
        </w:rPr>
      </w:pPr>
      <w:hyperlink r:id="rId15" w:history="1">
        <w:r w:rsidR="008D172B" w:rsidRPr="001D032A">
          <w:rPr>
            <w:rStyle w:val="TEXT1ODChar"/>
            <w:rFonts w:eastAsiaTheme="majorEastAsia" w:cstheme="minorHAnsi"/>
            <w:lang w:val="cs-CZ"/>
          </w:rPr>
          <w:t>Revírní bratrská pokladna, zdravotní pojišťovna</w:t>
        </w:r>
      </w:hyperlink>
      <w:r w:rsidR="008D172B" w:rsidRPr="001D032A">
        <w:rPr>
          <w:rFonts w:cstheme="minorHAnsi"/>
          <w:sz w:val="24"/>
          <w:szCs w:val="24"/>
          <w:lang w:val="cs-CZ"/>
        </w:rPr>
        <w:t xml:space="preserve"> (RBP)</w:t>
      </w:r>
    </w:p>
    <w:p w:rsidR="008D172B" w:rsidRPr="001D032A" w:rsidRDefault="008D172B" w:rsidP="003E1B90">
      <w:pPr>
        <w:jc w:val="both"/>
        <w:rPr>
          <w:rFonts w:cs="Arial"/>
          <w:sz w:val="24"/>
          <w:szCs w:val="24"/>
        </w:rPr>
      </w:pPr>
      <w:r w:rsidRPr="001D032A">
        <w:rPr>
          <w:rFonts w:cs="Arial"/>
          <w:sz w:val="24"/>
          <w:szCs w:val="24"/>
        </w:rPr>
        <w:t>Jednotlivé zdravotní pojišťovny nemají rovnoměrné rozdělení klientů. K 31. 12. 201</w:t>
      </w:r>
      <w:r w:rsidR="002159DE" w:rsidRPr="001D032A">
        <w:rPr>
          <w:rFonts w:cs="Arial"/>
          <w:sz w:val="24"/>
          <w:szCs w:val="24"/>
        </w:rPr>
        <w:t>8</w:t>
      </w:r>
      <w:r w:rsidRPr="001D032A">
        <w:rPr>
          <w:rFonts w:cs="Arial"/>
          <w:sz w:val="24"/>
          <w:szCs w:val="24"/>
        </w:rPr>
        <w:t xml:space="preserve"> je očekávaný počet pojištěnců 10,</w:t>
      </w:r>
      <w:r w:rsidR="002159DE" w:rsidRPr="001D032A">
        <w:rPr>
          <w:rFonts w:cs="Arial"/>
          <w:sz w:val="24"/>
          <w:szCs w:val="24"/>
        </w:rPr>
        <w:t>5</w:t>
      </w:r>
      <w:r w:rsidRPr="001D032A">
        <w:rPr>
          <w:rFonts w:cs="Arial"/>
          <w:sz w:val="24"/>
          <w:szCs w:val="24"/>
        </w:rPr>
        <w:t xml:space="preserve"> mil</w:t>
      </w:r>
      <w:r w:rsidR="002159DE" w:rsidRPr="001D032A">
        <w:rPr>
          <w:rFonts w:cs="Arial"/>
          <w:sz w:val="24"/>
          <w:szCs w:val="24"/>
        </w:rPr>
        <w:t>ionu</w:t>
      </w:r>
      <w:r w:rsidRPr="001D032A">
        <w:rPr>
          <w:rFonts w:cs="Arial"/>
          <w:sz w:val="24"/>
          <w:szCs w:val="24"/>
        </w:rPr>
        <w:t>, z toho VZP ČR registrovala 5,9 mil</w:t>
      </w:r>
      <w:r w:rsidR="002159DE" w:rsidRPr="001D032A">
        <w:rPr>
          <w:rFonts w:cs="Arial"/>
          <w:sz w:val="24"/>
          <w:szCs w:val="24"/>
        </w:rPr>
        <w:t>ionu</w:t>
      </w:r>
      <w:r w:rsidRPr="001D032A">
        <w:rPr>
          <w:rFonts w:cs="Arial"/>
          <w:sz w:val="24"/>
          <w:szCs w:val="24"/>
        </w:rPr>
        <w:t xml:space="preserve"> pojištěnců, </w:t>
      </w:r>
      <w:r w:rsidR="002159DE" w:rsidRPr="001D032A">
        <w:rPr>
          <w:rFonts w:cs="Arial"/>
          <w:sz w:val="24"/>
          <w:szCs w:val="24"/>
        </w:rPr>
        <w:t>což představuje</w:t>
      </w:r>
      <w:r w:rsidRPr="001D032A">
        <w:rPr>
          <w:rFonts w:cs="Arial"/>
          <w:sz w:val="24"/>
          <w:szCs w:val="24"/>
        </w:rPr>
        <w:t xml:space="preserve"> 57 % pojištěnců systému všeobecného zdravotního pojištění. Ostatní zdravotní pojišťovny tak mají v součtu méně klientů než samotná VZP ČR, což z ní činní dominantní pojišťovnu na trhu v České republice. Dle údajů ze zdravotního pojistného plánu VZP</w:t>
      </w:r>
      <w:r w:rsidR="002159DE" w:rsidRPr="001D032A">
        <w:rPr>
          <w:rFonts w:cs="Arial"/>
          <w:sz w:val="24"/>
          <w:szCs w:val="24"/>
        </w:rPr>
        <w:t xml:space="preserve"> otočí trend a přestane jí klesat počet klientů</w:t>
      </w:r>
      <w:r w:rsidRPr="001D032A">
        <w:rPr>
          <w:rFonts w:cs="Arial"/>
          <w:sz w:val="24"/>
          <w:szCs w:val="24"/>
        </w:rPr>
        <w:t xml:space="preserve">. </w:t>
      </w:r>
      <w:r w:rsidR="002159DE" w:rsidRPr="001D032A">
        <w:rPr>
          <w:rFonts w:cs="Arial"/>
          <w:sz w:val="24"/>
          <w:szCs w:val="24"/>
        </w:rPr>
        <w:t>Ostatním</w:t>
      </w:r>
      <w:r w:rsidRPr="001D032A">
        <w:rPr>
          <w:rFonts w:cs="Arial"/>
          <w:sz w:val="24"/>
          <w:szCs w:val="24"/>
        </w:rPr>
        <w:t xml:space="preserve"> zdravotním pojišťovnám počet pojištěnců </w:t>
      </w:r>
      <w:r w:rsidR="00581BF0">
        <w:rPr>
          <w:rFonts w:cs="Arial"/>
          <w:sz w:val="24"/>
          <w:szCs w:val="24"/>
        </w:rPr>
        <w:t>spíše narůstá.</w:t>
      </w:r>
    </w:p>
    <w:p w:rsidR="008D172B" w:rsidRPr="001D032A" w:rsidRDefault="008D172B" w:rsidP="003E1B90">
      <w:pPr>
        <w:jc w:val="both"/>
        <w:rPr>
          <w:sz w:val="24"/>
          <w:szCs w:val="24"/>
        </w:rPr>
      </w:pPr>
      <w:r w:rsidRPr="001D032A">
        <w:rPr>
          <w:sz w:val="24"/>
          <w:szCs w:val="24"/>
        </w:rPr>
        <w:t>Počet zaměstnanců zdravotních pojišťoven ke konci roku 201</w:t>
      </w:r>
      <w:r w:rsidR="002159DE" w:rsidRPr="001D032A">
        <w:rPr>
          <w:sz w:val="24"/>
          <w:szCs w:val="24"/>
        </w:rPr>
        <w:t>8</w:t>
      </w:r>
      <w:r w:rsidRPr="001D032A">
        <w:rPr>
          <w:sz w:val="24"/>
          <w:szCs w:val="24"/>
        </w:rPr>
        <w:t xml:space="preserve"> bude činit 6 </w:t>
      </w:r>
      <w:r w:rsidR="002159DE" w:rsidRPr="001D032A">
        <w:rPr>
          <w:sz w:val="24"/>
          <w:szCs w:val="24"/>
        </w:rPr>
        <w:t>149</w:t>
      </w:r>
      <w:r w:rsidRPr="001D032A">
        <w:rPr>
          <w:sz w:val="24"/>
          <w:szCs w:val="24"/>
        </w:rPr>
        <w:t>. Oproti roku 201</w:t>
      </w:r>
      <w:r w:rsidR="002159DE" w:rsidRPr="001D032A">
        <w:rPr>
          <w:sz w:val="24"/>
          <w:szCs w:val="24"/>
        </w:rPr>
        <w:t>7</w:t>
      </w:r>
      <w:r w:rsidRPr="001D032A">
        <w:rPr>
          <w:sz w:val="24"/>
          <w:szCs w:val="24"/>
        </w:rPr>
        <w:t xml:space="preserve"> tak dochází k nárůstu o </w:t>
      </w:r>
      <w:r w:rsidR="002159DE" w:rsidRPr="001D032A">
        <w:rPr>
          <w:sz w:val="24"/>
          <w:szCs w:val="24"/>
        </w:rPr>
        <w:t>90</w:t>
      </w:r>
      <w:r w:rsidRPr="001D032A">
        <w:rPr>
          <w:sz w:val="24"/>
          <w:szCs w:val="24"/>
        </w:rPr>
        <w:t xml:space="preserve"> zaměstnanců. Průměrný počet pojištěnců na 1 zaměstnance poklesne z</w:t>
      </w:r>
      <w:r w:rsidR="00A150D7" w:rsidRPr="001D032A">
        <w:rPr>
          <w:sz w:val="24"/>
          <w:szCs w:val="24"/>
        </w:rPr>
        <w:t> </w:t>
      </w:r>
      <w:r w:rsidRPr="001D032A">
        <w:rPr>
          <w:sz w:val="24"/>
          <w:szCs w:val="24"/>
        </w:rPr>
        <w:t>1</w:t>
      </w:r>
      <w:r w:rsidR="00A150D7" w:rsidRPr="001D032A">
        <w:rPr>
          <w:sz w:val="24"/>
          <w:szCs w:val="24"/>
        </w:rPr>
        <w:t xml:space="preserve"> </w:t>
      </w:r>
      <w:r w:rsidRPr="001D032A">
        <w:rPr>
          <w:sz w:val="24"/>
          <w:szCs w:val="24"/>
        </w:rPr>
        <w:t>7</w:t>
      </w:r>
      <w:r w:rsidR="002159DE" w:rsidRPr="001D032A">
        <w:rPr>
          <w:sz w:val="24"/>
          <w:szCs w:val="24"/>
        </w:rPr>
        <w:t>64</w:t>
      </w:r>
      <w:r w:rsidRPr="001D032A">
        <w:rPr>
          <w:sz w:val="24"/>
          <w:szCs w:val="24"/>
        </w:rPr>
        <w:t xml:space="preserve"> na 1 73</w:t>
      </w:r>
      <w:r w:rsidR="002159DE" w:rsidRPr="001D032A">
        <w:rPr>
          <w:sz w:val="24"/>
          <w:szCs w:val="24"/>
        </w:rPr>
        <w:t>0</w:t>
      </w:r>
      <w:r w:rsidRPr="001D032A">
        <w:rPr>
          <w:sz w:val="24"/>
          <w:szCs w:val="24"/>
        </w:rPr>
        <w:t>.</w:t>
      </w:r>
    </w:p>
    <w:p w:rsidR="00CE6FBC" w:rsidRPr="001D032A" w:rsidRDefault="00CE6FBC" w:rsidP="003A4F87">
      <w:pPr>
        <w:pStyle w:val="Nadpis2"/>
      </w:pPr>
      <w:bookmarkStart w:id="8" w:name="_Toc460456831"/>
    </w:p>
    <w:p w:rsidR="008D172B" w:rsidRPr="001D032A" w:rsidRDefault="008D172B" w:rsidP="003A4F87">
      <w:pPr>
        <w:pStyle w:val="Nadpis2"/>
      </w:pPr>
      <w:bookmarkStart w:id="9" w:name="_Toc525944491"/>
      <w:r w:rsidRPr="001D032A">
        <w:t>Základní faktory vývoje v roce 201</w:t>
      </w:r>
      <w:bookmarkEnd w:id="8"/>
      <w:r w:rsidR="003C1E78" w:rsidRPr="001D032A">
        <w:t>8</w:t>
      </w:r>
      <w:bookmarkEnd w:id="9"/>
    </w:p>
    <w:p w:rsidR="00D01BDD" w:rsidRPr="001D032A" w:rsidRDefault="008D172B" w:rsidP="003E1B90">
      <w:pPr>
        <w:jc w:val="both"/>
        <w:rPr>
          <w:sz w:val="24"/>
          <w:szCs w:val="24"/>
        </w:rPr>
      </w:pPr>
      <w:r w:rsidRPr="001D032A">
        <w:rPr>
          <w:sz w:val="24"/>
          <w:szCs w:val="24"/>
        </w:rPr>
        <w:t>Podle predikce základních makroekonomických indikátorů, které jsme převzali od České národní banky, Českého statistického úřadu a Ministerstva financí Če</w:t>
      </w:r>
      <w:r w:rsidR="003A4F87" w:rsidRPr="001D032A">
        <w:rPr>
          <w:sz w:val="24"/>
          <w:szCs w:val="24"/>
        </w:rPr>
        <w:t>ské republiky, dojde v roce 201</w:t>
      </w:r>
      <w:r w:rsidR="003C1E78" w:rsidRPr="001D032A">
        <w:rPr>
          <w:sz w:val="24"/>
          <w:szCs w:val="24"/>
        </w:rPr>
        <w:t>8</w:t>
      </w:r>
      <w:r w:rsidRPr="001D032A">
        <w:rPr>
          <w:sz w:val="24"/>
          <w:szCs w:val="24"/>
        </w:rPr>
        <w:t xml:space="preserve"> k růstu HDP o přibližně </w:t>
      </w:r>
      <w:r w:rsidR="003A4F87" w:rsidRPr="001D032A">
        <w:rPr>
          <w:sz w:val="24"/>
          <w:szCs w:val="24"/>
        </w:rPr>
        <w:t>3</w:t>
      </w:r>
      <w:r w:rsidRPr="001D032A">
        <w:rPr>
          <w:sz w:val="24"/>
          <w:szCs w:val="24"/>
        </w:rPr>
        <w:t xml:space="preserve"> %. Mimo to budou systém veřejného zdravotního pojištění ovlivňovat </w:t>
      </w:r>
      <w:r w:rsidR="003A4F87" w:rsidRPr="001D032A">
        <w:rPr>
          <w:sz w:val="24"/>
          <w:szCs w:val="24"/>
        </w:rPr>
        <w:t xml:space="preserve">další skutečnosti. </w:t>
      </w:r>
    </w:p>
    <w:p w:rsidR="00D01BDD" w:rsidRPr="001D032A" w:rsidRDefault="00D01BDD" w:rsidP="003E1B90">
      <w:pPr>
        <w:jc w:val="both"/>
        <w:rPr>
          <w:sz w:val="24"/>
          <w:szCs w:val="24"/>
        </w:rPr>
      </w:pPr>
      <w:r w:rsidRPr="001D032A">
        <w:rPr>
          <w:sz w:val="24"/>
          <w:szCs w:val="24"/>
        </w:rPr>
        <w:t>Od 1. 1. 201</w:t>
      </w:r>
      <w:r w:rsidR="003C1E78" w:rsidRPr="001D032A">
        <w:rPr>
          <w:sz w:val="24"/>
          <w:szCs w:val="24"/>
        </w:rPr>
        <w:t>8</w:t>
      </w:r>
      <w:r w:rsidRPr="001D032A">
        <w:rPr>
          <w:sz w:val="24"/>
          <w:szCs w:val="24"/>
        </w:rPr>
        <w:t xml:space="preserve"> se zvýšila minimální mzda z</w:t>
      </w:r>
      <w:r w:rsidR="003C1E78" w:rsidRPr="001D032A">
        <w:rPr>
          <w:sz w:val="24"/>
          <w:szCs w:val="24"/>
        </w:rPr>
        <w:t> 11 000</w:t>
      </w:r>
      <w:r w:rsidRPr="001D032A">
        <w:rPr>
          <w:sz w:val="24"/>
          <w:szCs w:val="24"/>
        </w:rPr>
        <w:t xml:space="preserve"> Kč na 1</w:t>
      </w:r>
      <w:r w:rsidR="003C1E78" w:rsidRPr="001D032A">
        <w:rPr>
          <w:sz w:val="24"/>
          <w:szCs w:val="24"/>
        </w:rPr>
        <w:t>2 2</w:t>
      </w:r>
      <w:r w:rsidRPr="001D032A">
        <w:rPr>
          <w:sz w:val="24"/>
          <w:szCs w:val="24"/>
        </w:rPr>
        <w:t xml:space="preserve">00 Kč. Krom toho rostou i ostatní mzdy v ekonomice, což zajišťuje rostoucí příjmy veřejného zdravotního pojištění. </w:t>
      </w:r>
      <w:r w:rsidR="003A4F87" w:rsidRPr="001D032A">
        <w:rPr>
          <w:sz w:val="24"/>
          <w:szCs w:val="24"/>
        </w:rPr>
        <w:t>Od 1. 1. 201</w:t>
      </w:r>
      <w:r w:rsidR="00A90959" w:rsidRPr="001D032A">
        <w:rPr>
          <w:sz w:val="24"/>
          <w:szCs w:val="24"/>
        </w:rPr>
        <w:t>8</w:t>
      </w:r>
      <w:r w:rsidR="008D172B" w:rsidRPr="001D032A">
        <w:rPr>
          <w:sz w:val="24"/>
          <w:szCs w:val="24"/>
        </w:rPr>
        <w:t xml:space="preserve"> se </w:t>
      </w:r>
      <w:r w:rsidRPr="001D032A">
        <w:rPr>
          <w:sz w:val="24"/>
          <w:szCs w:val="24"/>
        </w:rPr>
        <w:t>též mění</w:t>
      </w:r>
      <w:r w:rsidR="008D172B" w:rsidRPr="001D032A">
        <w:rPr>
          <w:sz w:val="24"/>
          <w:szCs w:val="24"/>
        </w:rPr>
        <w:t xml:space="preserve"> výše plateb zdravotního pojištění. Na </w:t>
      </w:r>
      <w:r w:rsidR="00A90959" w:rsidRPr="001D032A">
        <w:rPr>
          <w:sz w:val="24"/>
          <w:szCs w:val="24"/>
        </w:rPr>
        <w:t>2 024</w:t>
      </w:r>
      <w:r w:rsidR="008D172B" w:rsidRPr="001D032A">
        <w:rPr>
          <w:sz w:val="24"/>
          <w:szCs w:val="24"/>
        </w:rPr>
        <w:t xml:space="preserve"> Kč se zvyšuje minimální měsíční záloha na pojistné osob samostatně výdělečně činných. Na </w:t>
      </w:r>
      <w:r w:rsidRPr="001D032A">
        <w:rPr>
          <w:sz w:val="24"/>
          <w:szCs w:val="24"/>
        </w:rPr>
        <w:t xml:space="preserve">1 </w:t>
      </w:r>
      <w:r w:rsidR="00A90959" w:rsidRPr="001D032A">
        <w:rPr>
          <w:sz w:val="24"/>
          <w:szCs w:val="24"/>
        </w:rPr>
        <w:t>647</w:t>
      </w:r>
      <w:r w:rsidR="008D172B" w:rsidRPr="001D032A">
        <w:rPr>
          <w:sz w:val="24"/>
          <w:szCs w:val="24"/>
        </w:rPr>
        <w:t xml:space="preserve"> Kč se mění </w:t>
      </w:r>
      <w:r w:rsidR="00A90959" w:rsidRPr="001D032A">
        <w:rPr>
          <w:sz w:val="24"/>
          <w:szCs w:val="24"/>
        </w:rPr>
        <w:t xml:space="preserve">minimální měsíční záloha </w:t>
      </w:r>
      <w:r w:rsidR="008D172B" w:rsidRPr="001D032A">
        <w:rPr>
          <w:sz w:val="24"/>
          <w:szCs w:val="24"/>
        </w:rPr>
        <w:t xml:space="preserve">u </w:t>
      </w:r>
      <w:r w:rsidR="00A90959" w:rsidRPr="001D032A">
        <w:rPr>
          <w:sz w:val="24"/>
          <w:szCs w:val="24"/>
        </w:rPr>
        <w:t>osob bez zdanitelných příjmů.</w:t>
      </w:r>
      <w:r w:rsidRPr="001D032A">
        <w:rPr>
          <w:sz w:val="24"/>
          <w:szCs w:val="24"/>
        </w:rPr>
        <w:t xml:space="preserve"> A na 9</w:t>
      </w:r>
      <w:r w:rsidR="00A90959" w:rsidRPr="001D032A">
        <w:rPr>
          <w:sz w:val="24"/>
          <w:szCs w:val="24"/>
        </w:rPr>
        <w:t>69</w:t>
      </w:r>
      <w:r w:rsidRPr="001D032A">
        <w:rPr>
          <w:sz w:val="24"/>
          <w:szCs w:val="24"/>
        </w:rPr>
        <w:t xml:space="preserve"> Kč vzrostlo</w:t>
      </w:r>
      <w:r w:rsidR="008D172B" w:rsidRPr="001D032A">
        <w:rPr>
          <w:sz w:val="24"/>
          <w:szCs w:val="24"/>
        </w:rPr>
        <w:t xml:space="preserve"> pojistné, které platí stát. Roční maximální vyměřovací základ nebude ani v roce 201</w:t>
      </w:r>
      <w:r w:rsidR="00A90959" w:rsidRPr="001D032A">
        <w:rPr>
          <w:sz w:val="24"/>
          <w:szCs w:val="24"/>
        </w:rPr>
        <w:t>8</w:t>
      </w:r>
      <w:r w:rsidR="008D172B" w:rsidRPr="001D032A">
        <w:rPr>
          <w:sz w:val="24"/>
          <w:szCs w:val="24"/>
        </w:rPr>
        <w:t xml:space="preserve"> zastropován. </w:t>
      </w:r>
    </w:p>
    <w:p w:rsidR="008D172B" w:rsidRPr="001D032A" w:rsidRDefault="008D172B" w:rsidP="003E1B90">
      <w:pPr>
        <w:jc w:val="both"/>
        <w:rPr>
          <w:sz w:val="24"/>
          <w:szCs w:val="24"/>
        </w:rPr>
      </w:pPr>
      <w:r w:rsidRPr="001D032A">
        <w:rPr>
          <w:sz w:val="24"/>
          <w:szCs w:val="24"/>
        </w:rPr>
        <w:t>Klíčové makroekonomické veličiny, které popisují české hospodářství, pak shrnuje následující tabulka 1.</w:t>
      </w:r>
    </w:p>
    <w:p w:rsidR="008D172B" w:rsidRPr="001D032A" w:rsidRDefault="008D172B" w:rsidP="008D172B"/>
    <w:p w:rsidR="008D172B" w:rsidRPr="001D032A" w:rsidRDefault="008D172B" w:rsidP="008D172B">
      <w:r w:rsidRPr="001D032A">
        <w:br w:type="page"/>
      </w:r>
    </w:p>
    <w:p w:rsidR="008D172B" w:rsidRPr="001D032A" w:rsidRDefault="008D172B" w:rsidP="002C0E1B">
      <w:pPr>
        <w:pStyle w:val="Nadpis3"/>
      </w:pPr>
      <w:bookmarkStart w:id="10" w:name="_Toc460455294"/>
      <w:bookmarkStart w:id="11" w:name="_Toc525944146"/>
      <w:r w:rsidRPr="001D032A">
        <w:lastRenderedPageBreak/>
        <w:t>Tabulka 1: Hlavní makroekonomické indikátory</w:t>
      </w:r>
      <w:bookmarkEnd w:id="10"/>
      <w:bookmarkEnd w:id="11"/>
    </w:p>
    <w:p w:rsidR="008D172B" w:rsidRPr="001D032A" w:rsidRDefault="003C1E78" w:rsidP="008D172B">
      <w:r w:rsidRPr="001D032A">
        <w:rPr>
          <w:noProof/>
          <w:lang w:eastAsia="cs-CZ"/>
        </w:rPr>
        <w:drawing>
          <wp:inline distT="0" distB="0" distL="0" distR="0">
            <wp:extent cx="5762625" cy="32194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3219450"/>
                    </a:xfrm>
                    <a:prstGeom prst="rect">
                      <a:avLst/>
                    </a:prstGeom>
                    <a:noFill/>
                    <a:ln>
                      <a:noFill/>
                    </a:ln>
                  </pic:spPr>
                </pic:pic>
              </a:graphicData>
            </a:graphic>
          </wp:inline>
        </w:drawing>
      </w:r>
    </w:p>
    <w:p w:rsidR="008D172B" w:rsidRPr="001D032A" w:rsidRDefault="008D172B" w:rsidP="002C0E1B">
      <w:pPr>
        <w:pStyle w:val="Nadpis3"/>
        <w:jc w:val="center"/>
      </w:pPr>
      <w:bookmarkStart w:id="12" w:name="_Toc490999912"/>
      <w:bookmarkStart w:id="13" w:name="_Toc491000227"/>
      <w:bookmarkStart w:id="14" w:name="_Toc525944147"/>
      <w:r w:rsidRPr="001D032A">
        <w:t>Zdroj: Česká národní bank, Český statistický úřad, Ministerstvo financí ČR</w:t>
      </w:r>
      <w:bookmarkEnd w:id="12"/>
      <w:bookmarkEnd w:id="13"/>
      <w:bookmarkEnd w:id="14"/>
    </w:p>
    <w:p w:rsidR="002C0E1B" w:rsidRPr="001D032A" w:rsidRDefault="002C0E1B" w:rsidP="002C0E1B"/>
    <w:p w:rsidR="008D172B" w:rsidRPr="001D032A" w:rsidRDefault="008D172B" w:rsidP="003E1B90">
      <w:pPr>
        <w:pStyle w:val="Nadpis2"/>
      </w:pPr>
      <w:bookmarkStart w:id="15" w:name="_Toc460456832"/>
      <w:bookmarkStart w:id="16" w:name="_Toc525944492"/>
      <w:r w:rsidRPr="001D032A">
        <w:t>Příjmy</w:t>
      </w:r>
      <w:bookmarkEnd w:id="15"/>
      <w:bookmarkEnd w:id="16"/>
    </w:p>
    <w:p w:rsidR="008D172B" w:rsidRPr="001D032A" w:rsidRDefault="008D172B" w:rsidP="003E1B90">
      <w:pPr>
        <w:jc w:val="both"/>
        <w:rPr>
          <w:sz w:val="24"/>
          <w:szCs w:val="24"/>
        </w:rPr>
      </w:pPr>
      <w:r w:rsidRPr="001D032A">
        <w:rPr>
          <w:sz w:val="24"/>
          <w:szCs w:val="24"/>
        </w:rPr>
        <w:t>Celkové příjmy systému veřejného zdravotního pojištění na rok 201</w:t>
      </w:r>
      <w:r w:rsidR="00597561" w:rsidRPr="001D032A">
        <w:rPr>
          <w:sz w:val="24"/>
          <w:szCs w:val="24"/>
        </w:rPr>
        <w:t>8</w:t>
      </w:r>
      <w:r w:rsidRPr="001D032A">
        <w:rPr>
          <w:sz w:val="24"/>
          <w:szCs w:val="24"/>
        </w:rPr>
        <w:t xml:space="preserve"> jsou plánovány ve výši </w:t>
      </w:r>
      <w:r w:rsidR="00D0301E" w:rsidRPr="001D032A">
        <w:rPr>
          <w:sz w:val="24"/>
          <w:szCs w:val="24"/>
        </w:rPr>
        <w:t>2</w:t>
      </w:r>
      <w:r w:rsidR="006122BD" w:rsidRPr="001D032A">
        <w:rPr>
          <w:sz w:val="24"/>
          <w:szCs w:val="24"/>
        </w:rPr>
        <w:t>97</w:t>
      </w:r>
      <w:r w:rsidR="00D0301E" w:rsidRPr="001D032A">
        <w:rPr>
          <w:sz w:val="24"/>
          <w:szCs w:val="24"/>
        </w:rPr>
        <w:t>,</w:t>
      </w:r>
      <w:r w:rsidR="006122BD" w:rsidRPr="001D032A">
        <w:rPr>
          <w:sz w:val="24"/>
          <w:szCs w:val="24"/>
        </w:rPr>
        <w:t>2</w:t>
      </w:r>
      <w:r w:rsidRPr="001D032A">
        <w:rPr>
          <w:sz w:val="24"/>
          <w:szCs w:val="24"/>
        </w:rPr>
        <w:t xml:space="preserve"> m</w:t>
      </w:r>
      <w:r w:rsidR="006122BD" w:rsidRPr="001D032A">
        <w:rPr>
          <w:sz w:val="24"/>
          <w:szCs w:val="24"/>
        </w:rPr>
        <w:t>iliardy</w:t>
      </w:r>
      <w:r w:rsidRPr="001D032A">
        <w:rPr>
          <w:sz w:val="24"/>
          <w:szCs w:val="24"/>
        </w:rPr>
        <w:t xml:space="preserve"> Kč s meziročním nárůstem o </w:t>
      </w:r>
      <w:r w:rsidR="006122BD" w:rsidRPr="001D032A">
        <w:rPr>
          <w:sz w:val="24"/>
          <w:szCs w:val="24"/>
        </w:rPr>
        <w:t>5,6</w:t>
      </w:r>
      <w:r w:rsidRPr="001D032A">
        <w:rPr>
          <w:sz w:val="24"/>
          <w:szCs w:val="24"/>
        </w:rPr>
        <w:t xml:space="preserve"> %. Z toho příjmy z vlastního výběru pojistného budou činit </w:t>
      </w:r>
      <w:r w:rsidR="00D0301E" w:rsidRPr="001D032A">
        <w:rPr>
          <w:sz w:val="24"/>
          <w:szCs w:val="24"/>
        </w:rPr>
        <w:t>2</w:t>
      </w:r>
      <w:r w:rsidR="006122BD" w:rsidRPr="001D032A">
        <w:rPr>
          <w:sz w:val="24"/>
          <w:szCs w:val="24"/>
        </w:rPr>
        <w:t>28,8</w:t>
      </w:r>
      <w:r w:rsidRPr="001D032A">
        <w:rPr>
          <w:sz w:val="24"/>
          <w:szCs w:val="24"/>
        </w:rPr>
        <w:t xml:space="preserve"> </w:t>
      </w:r>
      <w:r w:rsidR="006122BD" w:rsidRPr="001D032A">
        <w:rPr>
          <w:sz w:val="24"/>
          <w:szCs w:val="24"/>
        </w:rPr>
        <w:t>miliardy</w:t>
      </w:r>
      <w:r w:rsidRPr="001D032A">
        <w:rPr>
          <w:sz w:val="24"/>
          <w:szCs w:val="24"/>
        </w:rPr>
        <w:t xml:space="preserve"> Kč, což představuje meziroční </w:t>
      </w:r>
      <w:r w:rsidR="00D0301E" w:rsidRPr="001D032A">
        <w:rPr>
          <w:sz w:val="24"/>
          <w:szCs w:val="24"/>
        </w:rPr>
        <w:t>nárůst o </w:t>
      </w:r>
      <w:r w:rsidR="006122BD" w:rsidRPr="001D032A">
        <w:rPr>
          <w:sz w:val="24"/>
          <w:szCs w:val="24"/>
        </w:rPr>
        <w:t>6</w:t>
      </w:r>
      <w:r w:rsidR="00D0301E" w:rsidRPr="001D032A">
        <w:rPr>
          <w:sz w:val="24"/>
          <w:szCs w:val="24"/>
        </w:rPr>
        <w:t>,8</w:t>
      </w:r>
      <w:r w:rsidRPr="001D032A">
        <w:rPr>
          <w:sz w:val="24"/>
          <w:szCs w:val="24"/>
        </w:rPr>
        <w:t xml:space="preserve"> %. Na tomto nárůstu se pozitivně projeví očekávaný hospodářský růst, který sebou přinese růst </w:t>
      </w:r>
      <w:r w:rsidR="00D0301E" w:rsidRPr="001D032A">
        <w:rPr>
          <w:sz w:val="24"/>
          <w:szCs w:val="24"/>
        </w:rPr>
        <w:t xml:space="preserve">mezd a platů na úrovni kolem </w:t>
      </w:r>
      <w:r w:rsidR="006122BD" w:rsidRPr="001D032A">
        <w:rPr>
          <w:sz w:val="24"/>
          <w:szCs w:val="24"/>
        </w:rPr>
        <w:t>9</w:t>
      </w:r>
      <w:r w:rsidRPr="001D032A">
        <w:rPr>
          <w:sz w:val="24"/>
          <w:szCs w:val="24"/>
        </w:rPr>
        <w:t xml:space="preserve"> %. Důležitou složkou příjmů systému veřejného zdravotního pojištění jsou i příjmy ze státního rozpočtu. Stát je totiž plátcem pojistného za některé osoby. Tyto příjmy dosahují úrovně </w:t>
      </w:r>
      <w:r w:rsidR="00D0301E" w:rsidRPr="001D032A">
        <w:rPr>
          <w:sz w:val="24"/>
          <w:szCs w:val="24"/>
        </w:rPr>
        <w:t>65,</w:t>
      </w:r>
      <w:r w:rsidR="006122BD" w:rsidRPr="001D032A">
        <w:rPr>
          <w:sz w:val="24"/>
          <w:szCs w:val="24"/>
        </w:rPr>
        <w:t>3 miliardy</w:t>
      </w:r>
      <w:r w:rsidR="00D0301E" w:rsidRPr="001D032A">
        <w:rPr>
          <w:sz w:val="24"/>
          <w:szCs w:val="24"/>
        </w:rPr>
        <w:t> Kč. V roce 201</w:t>
      </w:r>
      <w:r w:rsidR="006122BD" w:rsidRPr="001D032A">
        <w:rPr>
          <w:sz w:val="24"/>
          <w:szCs w:val="24"/>
        </w:rPr>
        <w:t>7</w:t>
      </w:r>
      <w:r w:rsidRPr="001D032A">
        <w:rPr>
          <w:sz w:val="24"/>
          <w:szCs w:val="24"/>
        </w:rPr>
        <w:t xml:space="preserve"> bylo ze státního rozpočtu vyplaceno necelých </w:t>
      </w:r>
      <w:r w:rsidR="00D0301E" w:rsidRPr="001D032A">
        <w:rPr>
          <w:sz w:val="24"/>
          <w:szCs w:val="24"/>
        </w:rPr>
        <w:t>6</w:t>
      </w:r>
      <w:r w:rsidR="006122BD" w:rsidRPr="001D032A">
        <w:rPr>
          <w:sz w:val="24"/>
          <w:szCs w:val="24"/>
        </w:rPr>
        <w:t>5</w:t>
      </w:r>
      <w:r w:rsidR="00D0301E" w:rsidRPr="001D032A">
        <w:rPr>
          <w:sz w:val="24"/>
          <w:szCs w:val="24"/>
        </w:rPr>
        <w:t>,</w:t>
      </w:r>
      <w:r w:rsidR="006122BD" w:rsidRPr="001D032A">
        <w:rPr>
          <w:sz w:val="24"/>
          <w:szCs w:val="24"/>
        </w:rPr>
        <w:t>3 miliardy</w:t>
      </w:r>
      <w:r w:rsidRPr="001D032A">
        <w:rPr>
          <w:sz w:val="24"/>
          <w:szCs w:val="24"/>
        </w:rPr>
        <w:t xml:space="preserve"> Kč. Meziročně by </w:t>
      </w:r>
      <w:r w:rsidR="006122BD" w:rsidRPr="001D032A">
        <w:rPr>
          <w:sz w:val="24"/>
          <w:szCs w:val="24"/>
        </w:rPr>
        <w:t>ne</w:t>
      </w:r>
      <w:r w:rsidRPr="001D032A">
        <w:rPr>
          <w:sz w:val="24"/>
          <w:szCs w:val="24"/>
        </w:rPr>
        <w:t>mělo dojít k nárůstu. Ostatní příjmy systému veřejného zdravotního pojištění mají marginální význam.</w:t>
      </w:r>
    </w:p>
    <w:p w:rsidR="005E0D53" w:rsidRPr="001D032A" w:rsidRDefault="005E0D53" w:rsidP="003E1B90">
      <w:pPr>
        <w:pStyle w:val="Nadpis2"/>
      </w:pPr>
      <w:bookmarkStart w:id="17" w:name="_Toc460456833"/>
    </w:p>
    <w:p w:rsidR="008D172B" w:rsidRPr="001D032A" w:rsidRDefault="008D172B" w:rsidP="003E1B90">
      <w:pPr>
        <w:pStyle w:val="Nadpis2"/>
      </w:pPr>
      <w:bookmarkStart w:id="18" w:name="_Toc525944493"/>
      <w:r w:rsidRPr="001D032A">
        <w:t>Výdaje</w:t>
      </w:r>
      <w:bookmarkEnd w:id="17"/>
      <w:bookmarkEnd w:id="18"/>
    </w:p>
    <w:p w:rsidR="008D172B" w:rsidRPr="001D032A" w:rsidRDefault="008D172B" w:rsidP="003E1B90">
      <w:pPr>
        <w:jc w:val="both"/>
        <w:rPr>
          <w:sz w:val="24"/>
          <w:szCs w:val="24"/>
        </w:rPr>
      </w:pPr>
      <w:r w:rsidRPr="001D032A">
        <w:rPr>
          <w:sz w:val="24"/>
          <w:szCs w:val="24"/>
        </w:rPr>
        <w:t>Celkové výdaje systému veřejného z</w:t>
      </w:r>
      <w:r w:rsidR="002F7B41" w:rsidRPr="001D032A">
        <w:rPr>
          <w:sz w:val="24"/>
          <w:szCs w:val="24"/>
        </w:rPr>
        <w:t>dravotního pojištění na rok 201</w:t>
      </w:r>
      <w:r w:rsidR="000F7883" w:rsidRPr="001D032A">
        <w:rPr>
          <w:sz w:val="24"/>
          <w:szCs w:val="24"/>
        </w:rPr>
        <w:t>8</w:t>
      </w:r>
      <w:r w:rsidR="002F7B41" w:rsidRPr="001D032A">
        <w:rPr>
          <w:sz w:val="24"/>
          <w:szCs w:val="24"/>
        </w:rPr>
        <w:t xml:space="preserve"> jsou plánovány ve výši 2</w:t>
      </w:r>
      <w:r w:rsidR="000F7883" w:rsidRPr="001D032A">
        <w:rPr>
          <w:sz w:val="24"/>
          <w:szCs w:val="24"/>
        </w:rPr>
        <w:t>95</w:t>
      </w:r>
      <w:r w:rsidR="002F7B41" w:rsidRPr="001D032A">
        <w:rPr>
          <w:sz w:val="24"/>
          <w:szCs w:val="24"/>
        </w:rPr>
        <w:t>,</w:t>
      </w:r>
      <w:r w:rsidR="000F7883" w:rsidRPr="001D032A">
        <w:rPr>
          <w:sz w:val="24"/>
          <w:szCs w:val="24"/>
        </w:rPr>
        <w:t>4</w:t>
      </w:r>
      <w:r w:rsidRPr="001D032A">
        <w:rPr>
          <w:sz w:val="24"/>
          <w:szCs w:val="24"/>
        </w:rPr>
        <w:t> </w:t>
      </w:r>
      <w:r w:rsidR="000F7883" w:rsidRPr="001D032A">
        <w:rPr>
          <w:sz w:val="24"/>
          <w:szCs w:val="24"/>
        </w:rPr>
        <w:t xml:space="preserve">miliardy </w:t>
      </w:r>
      <w:r w:rsidR="00226668" w:rsidRPr="001D032A">
        <w:rPr>
          <w:sz w:val="24"/>
          <w:szCs w:val="24"/>
        </w:rPr>
        <w:t>Kč s meziročním nárůstem o </w:t>
      </w:r>
      <w:r w:rsidR="000F7883" w:rsidRPr="001D032A">
        <w:rPr>
          <w:sz w:val="24"/>
          <w:szCs w:val="24"/>
        </w:rPr>
        <w:t>7,3</w:t>
      </w:r>
      <w:r w:rsidRPr="001D032A">
        <w:rPr>
          <w:sz w:val="24"/>
          <w:szCs w:val="24"/>
        </w:rPr>
        <w:t xml:space="preserve"> %. V přepočtu na jednoho pojištěnce pak činí celkové predikované výdaje přibližně </w:t>
      </w:r>
      <w:r w:rsidR="00226668" w:rsidRPr="001D032A">
        <w:rPr>
          <w:sz w:val="24"/>
          <w:szCs w:val="24"/>
        </w:rPr>
        <w:t>2</w:t>
      </w:r>
      <w:r w:rsidR="000F7883" w:rsidRPr="001D032A">
        <w:rPr>
          <w:sz w:val="24"/>
          <w:szCs w:val="24"/>
        </w:rPr>
        <w:t>8 190</w:t>
      </w:r>
      <w:r w:rsidRPr="001D032A">
        <w:rPr>
          <w:sz w:val="24"/>
          <w:szCs w:val="24"/>
        </w:rPr>
        <w:t> Kč. Zcela dominantní složkou výdajů jsou výdaje na zdravotní služby, kt</w:t>
      </w:r>
      <w:r w:rsidR="00226668" w:rsidRPr="001D032A">
        <w:rPr>
          <w:sz w:val="24"/>
          <w:szCs w:val="24"/>
        </w:rPr>
        <w:t>eré jsou plánovány ve výši 2</w:t>
      </w:r>
      <w:r w:rsidR="000F7883" w:rsidRPr="001D032A">
        <w:rPr>
          <w:sz w:val="24"/>
          <w:szCs w:val="24"/>
        </w:rPr>
        <w:t>86</w:t>
      </w:r>
      <w:r w:rsidR="00226668" w:rsidRPr="001D032A">
        <w:rPr>
          <w:sz w:val="24"/>
          <w:szCs w:val="24"/>
        </w:rPr>
        <w:t>,</w:t>
      </w:r>
      <w:r w:rsidR="000F7883" w:rsidRPr="001D032A">
        <w:rPr>
          <w:sz w:val="24"/>
          <w:szCs w:val="24"/>
        </w:rPr>
        <w:t>0 miliardy</w:t>
      </w:r>
      <w:r w:rsidRPr="001D032A">
        <w:rPr>
          <w:sz w:val="24"/>
          <w:szCs w:val="24"/>
        </w:rPr>
        <w:t> Kč s meziročním nárůstem o </w:t>
      </w:r>
      <w:r w:rsidR="000F7883" w:rsidRPr="001D032A">
        <w:rPr>
          <w:sz w:val="24"/>
          <w:szCs w:val="24"/>
        </w:rPr>
        <w:t>7,0</w:t>
      </w:r>
      <w:r w:rsidRPr="001D032A">
        <w:rPr>
          <w:sz w:val="24"/>
          <w:szCs w:val="24"/>
        </w:rPr>
        <w:t> %. Provozní výdaje budou v roce 201</w:t>
      </w:r>
      <w:r w:rsidR="000F7883" w:rsidRPr="001D032A">
        <w:rPr>
          <w:sz w:val="24"/>
          <w:szCs w:val="24"/>
        </w:rPr>
        <w:t>8</w:t>
      </w:r>
      <w:r w:rsidRPr="001D032A">
        <w:rPr>
          <w:sz w:val="24"/>
          <w:szCs w:val="24"/>
        </w:rPr>
        <w:t xml:space="preserve"> činit </w:t>
      </w:r>
      <w:r w:rsidR="00226668" w:rsidRPr="001D032A">
        <w:rPr>
          <w:sz w:val="24"/>
          <w:szCs w:val="24"/>
        </w:rPr>
        <w:t>7,</w:t>
      </w:r>
      <w:r w:rsidR="000F7883" w:rsidRPr="001D032A">
        <w:rPr>
          <w:sz w:val="24"/>
          <w:szCs w:val="24"/>
        </w:rPr>
        <w:t>3 miliardy</w:t>
      </w:r>
      <w:r w:rsidRPr="001D032A">
        <w:rPr>
          <w:sz w:val="24"/>
          <w:szCs w:val="24"/>
        </w:rPr>
        <w:t> Kč. Ostatní výdaje systému veřejného zdravotního pojištění jsou zanedbatelné.</w:t>
      </w:r>
    </w:p>
    <w:p w:rsidR="005E0D53" w:rsidRPr="001D032A" w:rsidRDefault="005E0D53" w:rsidP="003E1B90">
      <w:pPr>
        <w:pStyle w:val="Nadpis2"/>
      </w:pPr>
      <w:bookmarkStart w:id="19" w:name="_Toc460456834"/>
    </w:p>
    <w:p w:rsidR="008D172B" w:rsidRPr="001D032A" w:rsidRDefault="008D172B" w:rsidP="003E1B90">
      <w:pPr>
        <w:pStyle w:val="Nadpis2"/>
      </w:pPr>
      <w:bookmarkStart w:id="20" w:name="_Toc525944494"/>
      <w:r w:rsidRPr="001D032A">
        <w:t>Saldo</w:t>
      </w:r>
      <w:bookmarkEnd w:id="19"/>
      <w:bookmarkEnd w:id="20"/>
    </w:p>
    <w:p w:rsidR="008D172B" w:rsidRPr="001D032A" w:rsidRDefault="008D172B" w:rsidP="003E1B90">
      <w:pPr>
        <w:jc w:val="both"/>
        <w:rPr>
          <w:sz w:val="24"/>
          <w:szCs w:val="24"/>
        </w:rPr>
      </w:pPr>
      <w:r w:rsidRPr="001D032A">
        <w:rPr>
          <w:sz w:val="24"/>
          <w:szCs w:val="24"/>
        </w:rPr>
        <w:t>Plánované celkové saldo příjmů a výdajů systému veřejného zdravotn</w:t>
      </w:r>
      <w:r w:rsidR="00226668" w:rsidRPr="001D032A">
        <w:rPr>
          <w:sz w:val="24"/>
          <w:szCs w:val="24"/>
        </w:rPr>
        <w:t xml:space="preserve">ího pojištění činí přibližně </w:t>
      </w:r>
      <w:r w:rsidR="00A64F8E" w:rsidRPr="001D032A">
        <w:rPr>
          <w:sz w:val="24"/>
          <w:szCs w:val="24"/>
        </w:rPr>
        <w:t>1,8 miliardy</w:t>
      </w:r>
      <w:r w:rsidRPr="001D032A">
        <w:rPr>
          <w:sz w:val="24"/>
          <w:szCs w:val="24"/>
        </w:rPr>
        <w:t xml:space="preserve"> Kč. Příjmy a výdaje celého systému veřejného zdravotního pojištění by </w:t>
      </w:r>
      <w:r w:rsidRPr="001D032A">
        <w:rPr>
          <w:sz w:val="24"/>
          <w:szCs w:val="24"/>
        </w:rPr>
        <w:lastRenderedPageBreak/>
        <w:t>tak v roce 201</w:t>
      </w:r>
      <w:r w:rsidR="00A64F8E" w:rsidRPr="001D032A">
        <w:rPr>
          <w:sz w:val="24"/>
          <w:szCs w:val="24"/>
        </w:rPr>
        <w:t>8</w:t>
      </w:r>
      <w:r w:rsidRPr="001D032A">
        <w:rPr>
          <w:sz w:val="24"/>
          <w:szCs w:val="24"/>
        </w:rPr>
        <w:t xml:space="preserve"> měly být téměř vyrovnané. Mezi jednotlivými zdravotními pojišťovnami však existují rozdíly, čemuž se budeme věnovat v detailnější analýze systému zdravotního pojištění v České republice.</w:t>
      </w:r>
    </w:p>
    <w:p w:rsidR="008D172B" w:rsidRPr="001D032A" w:rsidRDefault="008D172B" w:rsidP="003E1B90">
      <w:pPr>
        <w:jc w:val="both"/>
        <w:rPr>
          <w:sz w:val="24"/>
          <w:szCs w:val="24"/>
        </w:rPr>
      </w:pPr>
      <w:r w:rsidRPr="001D032A">
        <w:rPr>
          <w:sz w:val="24"/>
          <w:szCs w:val="24"/>
        </w:rPr>
        <w:t xml:space="preserve">Veřejné zdravotní pojišťovny mají též pohledávky a závazky. Souhrn </w:t>
      </w:r>
      <w:r w:rsidR="00226668" w:rsidRPr="001D032A">
        <w:rPr>
          <w:sz w:val="24"/>
          <w:szCs w:val="24"/>
        </w:rPr>
        <w:t>pohledávek by ke konci roku 201</w:t>
      </w:r>
      <w:r w:rsidR="00A64F8E" w:rsidRPr="001D032A">
        <w:rPr>
          <w:sz w:val="24"/>
          <w:szCs w:val="24"/>
        </w:rPr>
        <w:t>8</w:t>
      </w:r>
      <w:r w:rsidR="00226668" w:rsidRPr="001D032A">
        <w:rPr>
          <w:sz w:val="24"/>
          <w:szCs w:val="24"/>
        </w:rPr>
        <w:t xml:space="preserve"> měl činit 37,</w:t>
      </w:r>
      <w:r w:rsidR="00A64F8E" w:rsidRPr="001D032A">
        <w:rPr>
          <w:sz w:val="24"/>
          <w:szCs w:val="24"/>
        </w:rPr>
        <w:t>4 miliardy</w:t>
      </w:r>
      <w:r w:rsidRPr="001D032A">
        <w:rPr>
          <w:sz w:val="24"/>
          <w:szCs w:val="24"/>
        </w:rPr>
        <w:t xml:space="preserve"> Kč a </w:t>
      </w:r>
      <w:r w:rsidR="00A64F8E" w:rsidRPr="001D032A">
        <w:rPr>
          <w:sz w:val="24"/>
          <w:szCs w:val="24"/>
        </w:rPr>
        <w:t>ne</w:t>
      </w:r>
      <w:r w:rsidRPr="001D032A">
        <w:rPr>
          <w:sz w:val="24"/>
          <w:szCs w:val="24"/>
        </w:rPr>
        <w:t>převyšuje</w:t>
      </w:r>
      <w:r w:rsidR="00226668" w:rsidRPr="001D032A">
        <w:rPr>
          <w:sz w:val="24"/>
          <w:szCs w:val="24"/>
        </w:rPr>
        <w:t xml:space="preserve"> tak souhrn závazků v hodnotě 3</w:t>
      </w:r>
      <w:r w:rsidR="00A64F8E" w:rsidRPr="001D032A">
        <w:rPr>
          <w:sz w:val="24"/>
          <w:szCs w:val="24"/>
        </w:rPr>
        <w:t>8,7 miliardy </w:t>
      </w:r>
      <w:r w:rsidRPr="001D032A">
        <w:rPr>
          <w:sz w:val="24"/>
          <w:szCs w:val="24"/>
        </w:rPr>
        <w:t>Kč. V účetnictví systému zdravotního pojištění pak nesmí být opomenuty další kategorie jednotlivých finančních položek. Mezi ty nejdůležitější patří stav opravných polož</w:t>
      </w:r>
      <w:r w:rsidR="00226668" w:rsidRPr="001D032A">
        <w:rPr>
          <w:sz w:val="24"/>
          <w:szCs w:val="24"/>
        </w:rPr>
        <w:t>ek s předpokládanou hodnotou 3</w:t>
      </w:r>
      <w:r w:rsidR="00B61DB3" w:rsidRPr="001D032A">
        <w:rPr>
          <w:sz w:val="24"/>
          <w:szCs w:val="24"/>
        </w:rPr>
        <w:t>3,1 miliardy</w:t>
      </w:r>
      <w:r w:rsidRPr="001D032A">
        <w:rPr>
          <w:sz w:val="24"/>
          <w:szCs w:val="24"/>
        </w:rPr>
        <w:t xml:space="preserve"> Kč.</w:t>
      </w:r>
    </w:p>
    <w:p w:rsidR="00CE6FBC" w:rsidRPr="001D032A" w:rsidRDefault="00CE6FBC" w:rsidP="002C0E1B">
      <w:pPr>
        <w:pStyle w:val="Nadpis2"/>
      </w:pPr>
      <w:bookmarkStart w:id="21" w:name="_Toc460456835"/>
    </w:p>
    <w:p w:rsidR="008D172B" w:rsidRPr="001D032A" w:rsidRDefault="008D172B" w:rsidP="002C0E1B">
      <w:pPr>
        <w:pStyle w:val="Nadpis2"/>
      </w:pPr>
      <w:bookmarkStart w:id="22" w:name="_Toc525944495"/>
      <w:r w:rsidRPr="001D032A">
        <w:t>Peněžní prostředky</w:t>
      </w:r>
      <w:bookmarkEnd w:id="21"/>
      <w:bookmarkEnd w:id="22"/>
      <w:r w:rsidRPr="001D032A">
        <w:t xml:space="preserve"> </w:t>
      </w:r>
    </w:p>
    <w:p w:rsidR="008D172B" w:rsidRPr="001D032A" w:rsidRDefault="008D172B" w:rsidP="003C56EE">
      <w:pPr>
        <w:jc w:val="both"/>
        <w:rPr>
          <w:b/>
        </w:rPr>
      </w:pPr>
      <w:r w:rsidRPr="001D032A">
        <w:rPr>
          <w:rStyle w:val="TABOBRChar"/>
          <w:b w:val="0"/>
          <w:sz w:val="24"/>
          <w:szCs w:val="24"/>
          <w:lang w:val="cs-CZ"/>
        </w:rPr>
        <w:t>Stav peněžních zůstatků na bankovních účtech zdravotních pojišťoven je plánován ke konci roku 201</w:t>
      </w:r>
      <w:r w:rsidR="00DB2224" w:rsidRPr="001D032A">
        <w:rPr>
          <w:rStyle w:val="TABOBRChar"/>
          <w:b w:val="0"/>
          <w:sz w:val="24"/>
          <w:szCs w:val="24"/>
          <w:lang w:val="cs-CZ"/>
        </w:rPr>
        <w:t>8</w:t>
      </w:r>
      <w:r w:rsidRPr="001D032A">
        <w:rPr>
          <w:rStyle w:val="TABOBRChar"/>
          <w:b w:val="0"/>
          <w:sz w:val="24"/>
          <w:szCs w:val="24"/>
          <w:lang w:val="cs-CZ"/>
        </w:rPr>
        <w:t xml:space="preserve"> v celkové výši </w:t>
      </w:r>
      <w:r w:rsidR="00DB2224" w:rsidRPr="001D032A">
        <w:rPr>
          <w:rStyle w:val="TABOBRChar"/>
          <w:b w:val="0"/>
          <w:sz w:val="24"/>
          <w:szCs w:val="24"/>
          <w:lang w:val="cs-CZ"/>
        </w:rPr>
        <w:t>28</w:t>
      </w:r>
      <w:r w:rsidR="00226668" w:rsidRPr="001D032A">
        <w:rPr>
          <w:rStyle w:val="TABOBRChar"/>
          <w:b w:val="0"/>
          <w:sz w:val="24"/>
          <w:szCs w:val="24"/>
          <w:lang w:val="cs-CZ"/>
        </w:rPr>
        <w:t>,</w:t>
      </w:r>
      <w:r w:rsidR="00DB2224" w:rsidRPr="001D032A">
        <w:rPr>
          <w:rStyle w:val="TABOBRChar"/>
          <w:b w:val="0"/>
          <w:sz w:val="24"/>
          <w:szCs w:val="24"/>
          <w:lang w:val="cs-CZ"/>
        </w:rPr>
        <w:t>5 miliardy</w:t>
      </w:r>
      <w:r w:rsidRPr="001D032A">
        <w:rPr>
          <w:rStyle w:val="TABOBRChar"/>
          <w:b w:val="0"/>
          <w:sz w:val="24"/>
          <w:szCs w:val="24"/>
          <w:lang w:val="cs-CZ"/>
        </w:rPr>
        <w:t xml:space="preserve"> Kč. </w:t>
      </w:r>
    </w:p>
    <w:p w:rsidR="008D172B" w:rsidRPr="001D032A" w:rsidRDefault="008D172B" w:rsidP="003C56EE">
      <w:pPr>
        <w:pStyle w:val="Nadpis3"/>
        <w:rPr>
          <w:rStyle w:val="Hypertextovodkaz"/>
          <w:color w:val="511707" w:themeColor="accent1" w:themeShade="7F"/>
          <w:u w:val="none"/>
        </w:rPr>
      </w:pPr>
      <w:bookmarkStart w:id="23" w:name="_Toc460455295"/>
      <w:bookmarkStart w:id="24" w:name="_Toc525944148"/>
      <w:r w:rsidRPr="001D032A">
        <w:rPr>
          <w:rStyle w:val="Hypertextovodkaz"/>
          <w:color w:val="511707" w:themeColor="accent1" w:themeShade="7F"/>
          <w:u w:val="none"/>
        </w:rPr>
        <w:t>Graf 1: Stav peněžních prostředků zdravotních pojišťoven ke konci roku 201</w:t>
      </w:r>
      <w:r w:rsidR="00DB2224" w:rsidRPr="001D032A">
        <w:rPr>
          <w:rStyle w:val="Hypertextovodkaz"/>
          <w:color w:val="511707" w:themeColor="accent1" w:themeShade="7F"/>
          <w:u w:val="none"/>
        </w:rPr>
        <w:t>8</w:t>
      </w:r>
      <w:r w:rsidRPr="001D032A">
        <w:rPr>
          <w:rStyle w:val="Hypertextovodkaz"/>
          <w:color w:val="511707" w:themeColor="accent1" w:themeShade="7F"/>
          <w:u w:val="none"/>
        </w:rPr>
        <w:t xml:space="preserve"> v</w:t>
      </w:r>
      <w:r w:rsidR="00DB2224" w:rsidRPr="001D032A">
        <w:rPr>
          <w:rStyle w:val="Hypertextovodkaz"/>
          <w:color w:val="511707" w:themeColor="accent1" w:themeShade="7F"/>
          <w:u w:val="none"/>
        </w:rPr>
        <w:t xml:space="preserve"> milionech </w:t>
      </w:r>
      <w:r w:rsidRPr="001D032A">
        <w:rPr>
          <w:rStyle w:val="Hypertextovodkaz"/>
          <w:color w:val="511707" w:themeColor="accent1" w:themeShade="7F"/>
          <w:u w:val="none"/>
        </w:rPr>
        <w:t>Kč</w:t>
      </w:r>
      <w:bookmarkEnd w:id="23"/>
      <w:bookmarkEnd w:id="24"/>
    </w:p>
    <w:p w:rsidR="008D172B" w:rsidRPr="001D032A" w:rsidRDefault="00DB2224" w:rsidP="008D172B">
      <w:pPr>
        <w:rPr>
          <w:noProof/>
        </w:rPr>
      </w:pPr>
      <w:r w:rsidRPr="001D032A">
        <w:rPr>
          <w:noProof/>
          <w:lang w:eastAsia="cs-CZ"/>
        </w:rPr>
        <w:drawing>
          <wp:inline distT="0" distB="0" distL="0" distR="0" wp14:anchorId="2F077528" wp14:editId="4C26539A">
            <wp:extent cx="5722620" cy="2743200"/>
            <wp:effectExtent l="0" t="0" r="11430" b="0"/>
            <wp:docPr id="8" name="Graf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22A636-6F5A-4EDA-9B87-24FD9784F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172B" w:rsidRPr="001D032A" w:rsidRDefault="008D172B" w:rsidP="008D172B">
      <w:pPr>
        <w:rPr>
          <w:sz w:val="2"/>
          <w:szCs w:val="2"/>
        </w:rPr>
      </w:pPr>
    </w:p>
    <w:p w:rsidR="008D172B" w:rsidRPr="001D032A" w:rsidRDefault="008D172B" w:rsidP="002C0E1B">
      <w:pPr>
        <w:pStyle w:val="Nadpis3"/>
        <w:jc w:val="center"/>
      </w:pPr>
      <w:bookmarkStart w:id="25" w:name="_Toc490999914"/>
      <w:bookmarkStart w:id="26" w:name="_Toc491000229"/>
      <w:bookmarkStart w:id="27" w:name="_Toc525944149"/>
      <w:r w:rsidRPr="001D032A">
        <w:t>Zdroj: Ministerstvo zdravotnictví ČR</w:t>
      </w:r>
      <w:bookmarkEnd w:id="25"/>
      <w:bookmarkEnd w:id="26"/>
      <w:bookmarkEnd w:id="27"/>
    </w:p>
    <w:p w:rsidR="002C0E1B" w:rsidRPr="001D032A" w:rsidRDefault="002C0E1B" w:rsidP="002C0E1B"/>
    <w:p w:rsidR="008D172B" w:rsidRPr="001D032A" w:rsidRDefault="00EA63B4" w:rsidP="002C0E1B">
      <w:pPr>
        <w:jc w:val="both"/>
        <w:rPr>
          <w:sz w:val="24"/>
          <w:szCs w:val="24"/>
        </w:rPr>
      </w:pPr>
      <w:r w:rsidRPr="001D032A">
        <w:rPr>
          <w:sz w:val="24"/>
          <w:szCs w:val="24"/>
        </w:rPr>
        <w:t>Z důvodů srovnatelnosti je dobré provést přepočet finanční zásoby zdravotních pojišťoven na počet dnů výdajů na péči. Situaci znázorňuje graf 2.</w:t>
      </w:r>
    </w:p>
    <w:p w:rsidR="008D172B" w:rsidRPr="001D032A" w:rsidRDefault="008D172B" w:rsidP="002C0E1B">
      <w:pPr>
        <w:pStyle w:val="Nadpis3"/>
      </w:pPr>
      <w:bookmarkStart w:id="28" w:name="_Toc460455296"/>
      <w:bookmarkStart w:id="29" w:name="_Toc525944150"/>
      <w:r w:rsidRPr="001D032A">
        <w:lastRenderedPageBreak/>
        <w:t>Graf 2: Plánovaná finanční zásoba pojišťoven ke konci roku 201</w:t>
      </w:r>
      <w:r w:rsidR="005E0D53" w:rsidRPr="001D032A">
        <w:t>8</w:t>
      </w:r>
      <w:r w:rsidRPr="001D032A">
        <w:t xml:space="preserve"> ve dnech výdajů na péči</w:t>
      </w:r>
      <w:bookmarkEnd w:id="28"/>
      <w:bookmarkEnd w:id="29"/>
      <w:r w:rsidRPr="001D032A">
        <w:t xml:space="preserve"> </w:t>
      </w:r>
    </w:p>
    <w:p w:rsidR="008D172B" w:rsidRPr="001D032A" w:rsidRDefault="00DB2224" w:rsidP="008D172B">
      <w:pPr>
        <w:pStyle w:val="Nadpis2"/>
        <w:rPr>
          <w:rFonts w:asciiTheme="minorHAnsi" w:hAnsiTheme="minorHAnsi"/>
        </w:rPr>
      </w:pPr>
      <w:bookmarkStart w:id="30" w:name="_Toc525944496"/>
      <w:r w:rsidRPr="001D032A">
        <w:rPr>
          <w:noProof/>
          <w:lang w:eastAsia="cs-CZ"/>
        </w:rPr>
        <w:drawing>
          <wp:inline distT="0" distB="0" distL="0" distR="0" wp14:anchorId="6D4284B1" wp14:editId="2BE97077">
            <wp:extent cx="5722620" cy="2743200"/>
            <wp:effectExtent l="0" t="0" r="11430" b="0"/>
            <wp:docPr id="9" name="Graf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1EF942-AD8D-42B8-BDA9-E2904EAB8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30"/>
    </w:p>
    <w:p w:rsidR="008D172B" w:rsidRPr="001D032A" w:rsidRDefault="008D172B" w:rsidP="008D172B">
      <w:pPr>
        <w:pStyle w:val="TEXT"/>
        <w:jc w:val="center"/>
        <w:rPr>
          <w:sz w:val="2"/>
          <w:szCs w:val="2"/>
          <w:lang w:val="cs-CZ"/>
        </w:rPr>
      </w:pPr>
    </w:p>
    <w:p w:rsidR="008D172B" w:rsidRPr="001D032A" w:rsidRDefault="008D172B" w:rsidP="002C0E1B">
      <w:pPr>
        <w:pStyle w:val="Nadpis3"/>
        <w:jc w:val="center"/>
      </w:pPr>
      <w:bookmarkStart w:id="31" w:name="_Toc491000231"/>
      <w:bookmarkStart w:id="32" w:name="_Toc525944151"/>
      <w:r w:rsidRPr="001D032A">
        <w:t>Zdroj: Ministerstvo zdravotnictví ČR</w:t>
      </w:r>
      <w:bookmarkEnd w:id="31"/>
      <w:bookmarkEnd w:id="32"/>
    </w:p>
    <w:p w:rsidR="002C0E1B" w:rsidRPr="001D032A" w:rsidRDefault="002C0E1B" w:rsidP="002C0E1B"/>
    <w:p w:rsidR="008D172B" w:rsidRPr="001D032A" w:rsidRDefault="008D172B" w:rsidP="008D172B">
      <w:pPr>
        <w:pStyle w:val="Nadpis2"/>
      </w:pPr>
      <w:bookmarkStart w:id="33" w:name="_Toc460456836"/>
      <w:bookmarkStart w:id="34" w:name="_Toc525944497"/>
      <w:r w:rsidRPr="001D032A">
        <w:t>Hospodaření</w:t>
      </w:r>
      <w:bookmarkEnd w:id="33"/>
      <w:bookmarkEnd w:id="34"/>
    </w:p>
    <w:p w:rsidR="008D172B" w:rsidRPr="001D032A" w:rsidRDefault="008D172B" w:rsidP="002C0E1B">
      <w:pPr>
        <w:jc w:val="both"/>
        <w:rPr>
          <w:sz w:val="24"/>
          <w:szCs w:val="24"/>
        </w:rPr>
      </w:pPr>
      <w:r w:rsidRPr="001D032A">
        <w:rPr>
          <w:sz w:val="24"/>
          <w:szCs w:val="24"/>
        </w:rPr>
        <w:t>U žádné zdravotní pojišťovny se nepředpokládají závazky po lhůtě splatnosti. U všech zdravotních pojišťoven se projevuje snaha o regulační omezení objemu poskytovaných zdravotních služeb v rámci dohodovacích řízení a účinných právních předpisů.</w:t>
      </w:r>
    </w:p>
    <w:p w:rsidR="007E5345" w:rsidRPr="001D032A" w:rsidRDefault="007E5345" w:rsidP="002C0E1B">
      <w:pPr>
        <w:jc w:val="both"/>
        <w:rPr>
          <w:rFonts w:cstheme="minorHAnsi"/>
          <w:sz w:val="24"/>
          <w:szCs w:val="24"/>
        </w:rPr>
      </w:pPr>
      <w:r w:rsidRPr="001D032A">
        <w:rPr>
          <w:rFonts w:cstheme="minorHAnsi"/>
          <w:sz w:val="24"/>
          <w:szCs w:val="24"/>
        </w:rPr>
        <w:t>Stress-test však potvrdil, že současně nastavené parametry fungování systému veřejného zdravotního pojištění jsou ze střednědobého hlediska neudržitelné. V případě mělké dvouleté recese by došlo v roce 2020 k vyčerpání rezerv zdravotních pojišťoven a v roce 2021 ke vzniku závazků po lhůtě splatnosti vůči poskytovatelům zdravotních služeb.</w:t>
      </w:r>
    </w:p>
    <w:p w:rsidR="008D172B" w:rsidRPr="001D032A" w:rsidRDefault="008D172B" w:rsidP="002C0E1B">
      <w:pPr>
        <w:jc w:val="both"/>
        <w:rPr>
          <w:sz w:val="24"/>
          <w:szCs w:val="24"/>
        </w:rPr>
      </w:pPr>
      <w:r w:rsidRPr="001D032A">
        <w:rPr>
          <w:sz w:val="24"/>
          <w:szCs w:val="24"/>
        </w:rPr>
        <w:t xml:space="preserve">Z pohledu meziročního srovnání plánují zdravotní pojišťovny jako celek meziroční zvýšení </w:t>
      </w:r>
      <w:bookmarkStart w:id="35" w:name="_Hlk525926278"/>
      <w:r w:rsidRPr="001D032A">
        <w:rPr>
          <w:sz w:val="24"/>
          <w:szCs w:val="24"/>
        </w:rPr>
        <w:t xml:space="preserve">objemu nákladů hrazených </w:t>
      </w:r>
      <w:bookmarkEnd w:id="35"/>
      <w:r w:rsidRPr="001D032A">
        <w:rPr>
          <w:sz w:val="24"/>
          <w:szCs w:val="24"/>
        </w:rPr>
        <w:t>ze základního fondu zd</w:t>
      </w:r>
      <w:r w:rsidR="007F6366" w:rsidRPr="001D032A">
        <w:rPr>
          <w:sz w:val="24"/>
          <w:szCs w:val="24"/>
        </w:rPr>
        <w:t xml:space="preserve">ravotního pojištění celkem o </w:t>
      </w:r>
      <w:r w:rsidR="007E5345" w:rsidRPr="001D032A">
        <w:rPr>
          <w:sz w:val="24"/>
          <w:szCs w:val="24"/>
        </w:rPr>
        <w:t>6,9</w:t>
      </w:r>
      <w:r w:rsidR="007F6366" w:rsidRPr="001D032A">
        <w:rPr>
          <w:sz w:val="24"/>
          <w:szCs w:val="24"/>
        </w:rPr>
        <w:t> %, což představuje 1</w:t>
      </w:r>
      <w:r w:rsidR="007E5345" w:rsidRPr="001D032A">
        <w:rPr>
          <w:sz w:val="24"/>
          <w:szCs w:val="24"/>
        </w:rPr>
        <w:t>8</w:t>
      </w:r>
      <w:r w:rsidR="007F6366" w:rsidRPr="001D032A">
        <w:rPr>
          <w:sz w:val="24"/>
          <w:szCs w:val="24"/>
        </w:rPr>
        <w:t>,4</w:t>
      </w:r>
      <w:r w:rsidRPr="001D032A">
        <w:rPr>
          <w:sz w:val="24"/>
          <w:szCs w:val="24"/>
        </w:rPr>
        <w:t xml:space="preserve"> </w:t>
      </w:r>
      <w:r w:rsidR="007E5345" w:rsidRPr="001D032A">
        <w:rPr>
          <w:sz w:val="24"/>
          <w:szCs w:val="24"/>
        </w:rPr>
        <w:t>miliardy</w:t>
      </w:r>
      <w:r w:rsidRPr="001D032A">
        <w:rPr>
          <w:sz w:val="24"/>
          <w:szCs w:val="24"/>
        </w:rPr>
        <w:t xml:space="preserve"> Kč. Z detailních podkladů jednotlivých zdravotních pojišťoven vyplývá, že všechny plánují meziroční zvýšení nákladů na zdravotní služby. Konkrétně VZP ČR o</w:t>
      </w:r>
      <w:r w:rsidR="007F6366" w:rsidRPr="001D032A">
        <w:rPr>
          <w:sz w:val="24"/>
          <w:szCs w:val="24"/>
        </w:rPr>
        <w:t> </w:t>
      </w:r>
      <w:r w:rsidR="007E5345" w:rsidRPr="001D032A">
        <w:rPr>
          <w:sz w:val="24"/>
          <w:szCs w:val="24"/>
        </w:rPr>
        <w:t>6,8</w:t>
      </w:r>
      <w:r w:rsidRPr="001D032A">
        <w:rPr>
          <w:sz w:val="24"/>
          <w:szCs w:val="24"/>
        </w:rPr>
        <w:t xml:space="preserve"> %, </w:t>
      </w:r>
      <w:r w:rsidRPr="001D032A">
        <w:rPr>
          <w:spacing w:val="-10"/>
          <w:sz w:val="24"/>
          <w:szCs w:val="24"/>
        </w:rPr>
        <w:t>VoZP ČR o </w:t>
      </w:r>
      <w:r w:rsidR="007E5345" w:rsidRPr="001D032A">
        <w:rPr>
          <w:spacing w:val="-10"/>
          <w:sz w:val="24"/>
          <w:szCs w:val="24"/>
        </w:rPr>
        <w:t>5,4</w:t>
      </w:r>
      <w:r w:rsidRPr="001D032A">
        <w:rPr>
          <w:spacing w:val="-10"/>
          <w:sz w:val="24"/>
          <w:szCs w:val="24"/>
        </w:rPr>
        <w:t> %, ČPZP o </w:t>
      </w:r>
      <w:r w:rsidR="007E5345" w:rsidRPr="001D032A">
        <w:rPr>
          <w:spacing w:val="-10"/>
          <w:sz w:val="24"/>
          <w:szCs w:val="24"/>
        </w:rPr>
        <w:t>7,4</w:t>
      </w:r>
      <w:r w:rsidRPr="001D032A">
        <w:rPr>
          <w:spacing w:val="-10"/>
          <w:sz w:val="24"/>
          <w:szCs w:val="24"/>
        </w:rPr>
        <w:t> %, OZP o</w:t>
      </w:r>
      <w:r w:rsidR="007F6366" w:rsidRPr="001D032A">
        <w:rPr>
          <w:spacing w:val="-10"/>
          <w:sz w:val="24"/>
          <w:szCs w:val="24"/>
        </w:rPr>
        <w:t xml:space="preserve"> </w:t>
      </w:r>
      <w:r w:rsidR="007E5345" w:rsidRPr="001D032A">
        <w:rPr>
          <w:spacing w:val="-10"/>
          <w:sz w:val="24"/>
          <w:szCs w:val="24"/>
        </w:rPr>
        <w:t>9,7</w:t>
      </w:r>
      <w:r w:rsidRPr="001D032A">
        <w:rPr>
          <w:spacing w:val="-10"/>
          <w:sz w:val="24"/>
          <w:szCs w:val="24"/>
        </w:rPr>
        <w:t> %, ZPŠ o </w:t>
      </w:r>
      <w:r w:rsidR="007F6366" w:rsidRPr="001D032A">
        <w:rPr>
          <w:spacing w:val="-10"/>
          <w:sz w:val="24"/>
          <w:szCs w:val="24"/>
        </w:rPr>
        <w:t>6,</w:t>
      </w:r>
      <w:r w:rsidR="007E5345" w:rsidRPr="001D032A">
        <w:rPr>
          <w:spacing w:val="-10"/>
          <w:sz w:val="24"/>
          <w:szCs w:val="24"/>
        </w:rPr>
        <w:t>0</w:t>
      </w:r>
      <w:r w:rsidRPr="001D032A">
        <w:rPr>
          <w:spacing w:val="-10"/>
          <w:sz w:val="24"/>
          <w:szCs w:val="24"/>
        </w:rPr>
        <w:t> %, ZP MV ČR o </w:t>
      </w:r>
      <w:r w:rsidR="007E5345" w:rsidRPr="001D032A">
        <w:rPr>
          <w:spacing w:val="-10"/>
          <w:sz w:val="24"/>
          <w:szCs w:val="24"/>
        </w:rPr>
        <w:t>6,5</w:t>
      </w:r>
      <w:r w:rsidR="007F6366" w:rsidRPr="001D032A">
        <w:rPr>
          <w:spacing w:val="-10"/>
          <w:sz w:val="24"/>
          <w:szCs w:val="24"/>
        </w:rPr>
        <w:t> % a RBP o </w:t>
      </w:r>
      <w:r w:rsidR="007E5345" w:rsidRPr="001D032A">
        <w:rPr>
          <w:spacing w:val="-10"/>
          <w:sz w:val="24"/>
          <w:szCs w:val="24"/>
        </w:rPr>
        <w:t>5,8</w:t>
      </w:r>
      <w:r w:rsidRPr="001D032A">
        <w:rPr>
          <w:spacing w:val="-10"/>
          <w:sz w:val="24"/>
          <w:szCs w:val="24"/>
        </w:rPr>
        <w:t> %</w:t>
      </w:r>
      <w:r w:rsidRPr="001D032A">
        <w:rPr>
          <w:sz w:val="24"/>
          <w:szCs w:val="24"/>
        </w:rPr>
        <w:t>.</w:t>
      </w:r>
    </w:p>
    <w:p w:rsidR="008D172B" w:rsidRPr="001D032A" w:rsidRDefault="008D172B" w:rsidP="002C0E1B">
      <w:pPr>
        <w:jc w:val="both"/>
        <w:rPr>
          <w:sz w:val="24"/>
          <w:szCs w:val="24"/>
        </w:rPr>
      </w:pPr>
      <w:r w:rsidRPr="001D032A">
        <w:rPr>
          <w:sz w:val="24"/>
          <w:szCs w:val="24"/>
        </w:rPr>
        <w:t>V objemově největším segmentu lůžkové zdravotní péče je p</w:t>
      </w:r>
      <w:r w:rsidR="007F6366" w:rsidRPr="001D032A">
        <w:rPr>
          <w:sz w:val="24"/>
          <w:szCs w:val="24"/>
        </w:rPr>
        <w:t>ředpokládán nárůst nákladů o </w:t>
      </w:r>
      <w:r w:rsidR="007E5345" w:rsidRPr="001D032A">
        <w:rPr>
          <w:sz w:val="24"/>
          <w:szCs w:val="24"/>
        </w:rPr>
        <w:t>9,5</w:t>
      </w:r>
      <w:r w:rsidRPr="001D032A">
        <w:rPr>
          <w:sz w:val="24"/>
          <w:szCs w:val="24"/>
        </w:rPr>
        <w:t xml:space="preserve"> %, což činí </w:t>
      </w:r>
      <w:r w:rsidR="007E5345" w:rsidRPr="001D032A">
        <w:rPr>
          <w:sz w:val="24"/>
          <w:szCs w:val="24"/>
        </w:rPr>
        <w:t>13,5 miliardy</w:t>
      </w:r>
      <w:r w:rsidRPr="001D032A">
        <w:rPr>
          <w:sz w:val="24"/>
          <w:szCs w:val="24"/>
        </w:rPr>
        <w:t> Kč oproti</w:t>
      </w:r>
      <w:r w:rsidR="007F6366" w:rsidRPr="001D032A">
        <w:rPr>
          <w:sz w:val="24"/>
          <w:szCs w:val="24"/>
        </w:rPr>
        <w:t xml:space="preserve"> očekávané skutečnosti roku 201</w:t>
      </w:r>
      <w:r w:rsidR="007E5345" w:rsidRPr="001D032A">
        <w:rPr>
          <w:sz w:val="24"/>
          <w:szCs w:val="24"/>
        </w:rPr>
        <w:t>7</w:t>
      </w:r>
      <w:r w:rsidRPr="001D032A">
        <w:rPr>
          <w:sz w:val="24"/>
          <w:szCs w:val="24"/>
        </w:rPr>
        <w:t>. U ambulantní péče se plánu</w:t>
      </w:r>
      <w:r w:rsidR="007F6366" w:rsidRPr="001D032A">
        <w:rPr>
          <w:sz w:val="24"/>
          <w:szCs w:val="24"/>
        </w:rPr>
        <w:t>je navýšení nákladů celkem o 3,</w:t>
      </w:r>
      <w:r w:rsidR="007E5345" w:rsidRPr="001D032A">
        <w:rPr>
          <w:sz w:val="24"/>
          <w:szCs w:val="24"/>
        </w:rPr>
        <w:t>9</w:t>
      </w:r>
      <w:r w:rsidR="007F6366" w:rsidRPr="001D032A">
        <w:rPr>
          <w:sz w:val="24"/>
          <w:szCs w:val="24"/>
        </w:rPr>
        <w:t xml:space="preserve"> %, což znamená </w:t>
      </w:r>
      <w:r w:rsidR="007E5345" w:rsidRPr="001D032A">
        <w:rPr>
          <w:sz w:val="24"/>
          <w:szCs w:val="24"/>
        </w:rPr>
        <w:t>2,8 miliardy</w:t>
      </w:r>
      <w:r w:rsidRPr="001D032A">
        <w:rPr>
          <w:sz w:val="24"/>
          <w:szCs w:val="24"/>
        </w:rPr>
        <w:t xml:space="preserve"> Kč.</w:t>
      </w:r>
    </w:p>
    <w:p w:rsidR="008D172B" w:rsidRPr="001D032A" w:rsidRDefault="008D172B" w:rsidP="008D172B">
      <w:pPr>
        <w:rPr>
          <w:rFonts w:cs="Arial"/>
          <w:sz w:val="24"/>
          <w:szCs w:val="24"/>
        </w:rPr>
      </w:pPr>
      <w:r w:rsidRPr="001D032A">
        <w:br w:type="page"/>
      </w:r>
    </w:p>
    <w:p w:rsidR="008D172B" w:rsidRPr="001D032A" w:rsidRDefault="008D172B" w:rsidP="00CE6FBC">
      <w:pPr>
        <w:pStyle w:val="Nadpis3"/>
      </w:pPr>
      <w:bookmarkStart w:id="36" w:name="_Toc460455297"/>
      <w:bookmarkStart w:id="37" w:name="_Toc525944152"/>
      <w:r w:rsidRPr="001D032A">
        <w:lastRenderedPageBreak/>
        <w:t>Tabulka 2: Struktura nákladů zdravotních pojišťoven</w:t>
      </w:r>
      <w:bookmarkEnd w:id="36"/>
      <w:bookmarkEnd w:id="37"/>
    </w:p>
    <w:tbl>
      <w:tblPr>
        <w:tblStyle w:val="Tabulkasmkou4zvraznn1"/>
        <w:tblW w:w="9067" w:type="dxa"/>
        <w:tblLayout w:type="fixed"/>
        <w:tblLook w:val="04A0" w:firstRow="1" w:lastRow="0" w:firstColumn="1" w:lastColumn="0" w:noHBand="0" w:noVBand="1"/>
      </w:tblPr>
      <w:tblGrid>
        <w:gridCol w:w="1555"/>
        <w:gridCol w:w="1073"/>
        <w:gridCol w:w="1073"/>
        <w:gridCol w:w="1073"/>
        <w:gridCol w:w="1073"/>
        <w:gridCol w:w="1073"/>
        <w:gridCol w:w="1073"/>
        <w:gridCol w:w="1074"/>
      </w:tblGrid>
      <w:tr w:rsidR="00F07342" w:rsidRPr="001D032A" w:rsidTr="00F07342">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rsidR="00F07342" w:rsidRPr="001D032A" w:rsidRDefault="00F07342" w:rsidP="00F07342">
            <w:pPr>
              <w:jc w:val="center"/>
              <w:rPr>
                <w:rFonts w:eastAsia="Times New Roman" w:cs="Arial"/>
                <w:bCs w:val="0"/>
                <w:sz w:val="24"/>
                <w:szCs w:val="24"/>
              </w:rPr>
            </w:pPr>
            <w:r w:rsidRPr="001D032A">
              <w:rPr>
                <w:rFonts w:eastAsia="Times New Roman" w:cs="Arial"/>
                <w:bCs w:val="0"/>
                <w:sz w:val="24"/>
                <w:szCs w:val="24"/>
              </w:rPr>
              <w:t>Ukazatel</w:t>
            </w:r>
          </w:p>
          <w:p w:rsidR="00F07342" w:rsidRPr="001D032A" w:rsidRDefault="00F07342" w:rsidP="00F07342">
            <w:pPr>
              <w:jc w:val="center"/>
              <w:rPr>
                <w:rFonts w:eastAsia="Times New Roman" w:cs="Arial"/>
                <w:bCs w:val="0"/>
                <w:sz w:val="24"/>
                <w:szCs w:val="24"/>
              </w:rPr>
            </w:pPr>
            <w:r w:rsidRPr="001D032A">
              <w:rPr>
                <w:rFonts w:eastAsia="Times New Roman" w:cs="Arial"/>
                <w:bCs w:val="0"/>
                <w:sz w:val="24"/>
                <w:szCs w:val="24"/>
              </w:rPr>
              <w:t>(v mil. Kč)</w:t>
            </w:r>
          </w:p>
        </w:tc>
        <w:tc>
          <w:tcPr>
            <w:tcW w:w="1073" w:type="dxa"/>
            <w:vAlign w:val="center"/>
            <w:hideMark/>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rPr>
            </w:pPr>
            <w:r w:rsidRPr="001D032A">
              <w:rPr>
                <w:rFonts w:eastAsia="Times New Roman" w:cs="Arial"/>
                <w:bCs w:val="0"/>
                <w:sz w:val="24"/>
                <w:szCs w:val="24"/>
              </w:rPr>
              <w:t>2012</w:t>
            </w:r>
          </w:p>
        </w:tc>
        <w:tc>
          <w:tcPr>
            <w:tcW w:w="1073" w:type="dxa"/>
            <w:vAlign w:val="center"/>
            <w:hideMark/>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rPr>
            </w:pPr>
            <w:r w:rsidRPr="001D032A">
              <w:rPr>
                <w:rFonts w:eastAsia="Times New Roman" w:cs="Arial"/>
                <w:bCs w:val="0"/>
                <w:sz w:val="24"/>
                <w:szCs w:val="24"/>
              </w:rPr>
              <w:t>2013</w:t>
            </w:r>
          </w:p>
        </w:tc>
        <w:tc>
          <w:tcPr>
            <w:tcW w:w="1073" w:type="dxa"/>
            <w:vAlign w:val="center"/>
            <w:hideMark/>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rPr>
            </w:pPr>
            <w:r w:rsidRPr="001D032A">
              <w:rPr>
                <w:rFonts w:eastAsia="Times New Roman" w:cs="Arial"/>
                <w:bCs w:val="0"/>
                <w:sz w:val="24"/>
                <w:szCs w:val="24"/>
              </w:rPr>
              <w:t>2014</w:t>
            </w:r>
          </w:p>
        </w:tc>
        <w:tc>
          <w:tcPr>
            <w:tcW w:w="1073" w:type="dxa"/>
            <w:vAlign w:val="center"/>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rPr>
            </w:pPr>
            <w:r w:rsidRPr="001D032A">
              <w:rPr>
                <w:rFonts w:eastAsia="Times New Roman" w:cs="Arial"/>
                <w:bCs w:val="0"/>
                <w:sz w:val="24"/>
                <w:szCs w:val="24"/>
              </w:rPr>
              <w:t>2015</w:t>
            </w:r>
          </w:p>
        </w:tc>
        <w:tc>
          <w:tcPr>
            <w:tcW w:w="1073" w:type="dxa"/>
            <w:vAlign w:val="center"/>
            <w:hideMark/>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rPr>
            </w:pPr>
            <w:r w:rsidRPr="001D032A">
              <w:rPr>
                <w:rFonts w:eastAsia="Times New Roman" w:cs="Arial"/>
                <w:bCs w:val="0"/>
                <w:sz w:val="24"/>
                <w:szCs w:val="24"/>
              </w:rPr>
              <w:t>2016</w:t>
            </w:r>
          </w:p>
        </w:tc>
        <w:tc>
          <w:tcPr>
            <w:tcW w:w="1073" w:type="dxa"/>
            <w:vAlign w:val="center"/>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1D032A">
              <w:rPr>
                <w:rFonts w:eastAsia="Times New Roman" w:cs="Arial"/>
                <w:sz w:val="24"/>
                <w:szCs w:val="24"/>
              </w:rPr>
              <w:t>2017*</w:t>
            </w:r>
          </w:p>
        </w:tc>
        <w:tc>
          <w:tcPr>
            <w:tcW w:w="1074" w:type="dxa"/>
            <w:vAlign w:val="center"/>
          </w:tcPr>
          <w:p w:rsidR="00F07342" w:rsidRPr="001D032A" w:rsidRDefault="00F07342" w:rsidP="00F0734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1D032A">
              <w:rPr>
                <w:rFonts w:eastAsia="Times New Roman" w:cs="Arial"/>
                <w:sz w:val="24"/>
                <w:szCs w:val="24"/>
              </w:rPr>
              <w:t>2018**</w:t>
            </w:r>
          </w:p>
        </w:tc>
      </w:tr>
      <w:tr w:rsidR="00F07342" w:rsidRPr="001D032A" w:rsidTr="00F0734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rsidR="00F07342" w:rsidRPr="001D032A" w:rsidRDefault="00F07342" w:rsidP="00F07342">
            <w:pPr>
              <w:rPr>
                <w:rFonts w:eastAsia="Times New Roman" w:cs="Arial"/>
                <w:b w:val="0"/>
                <w:bCs w:val="0"/>
                <w:color w:val="000000"/>
                <w:sz w:val="20"/>
                <w:szCs w:val="20"/>
              </w:rPr>
            </w:pPr>
            <w:r w:rsidRPr="001D032A">
              <w:rPr>
                <w:rFonts w:eastAsia="Times New Roman" w:cs="Arial"/>
                <w:b w:val="0"/>
                <w:bCs w:val="0"/>
                <w:color w:val="000000"/>
                <w:sz w:val="20"/>
                <w:szCs w:val="20"/>
              </w:rPr>
              <w:t>Náklady na ambulantní péči</w:t>
            </w:r>
          </w:p>
        </w:tc>
        <w:tc>
          <w:tcPr>
            <w:tcW w:w="1073" w:type="dxa"/>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1D032A">
              <w:rPr>
                <w:rFonts w:eastAsia="Times New Roman" w:cs="Arial"/>
                <w:color w:val="000000"/>
                <w:sz w:val="20"/>
                <w:szCs w:val="20"/>
              </w:rPr>
              <w:t>58 761</w:t>
            </w:r>
          </w:p>
        </w:tc>
        <w:tc>
          <w:tcPr>
            <w:tcW w:w="1073" w:type="dxa"/>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32A">
              <w:rPr>
                <w:rFonts w:cs="Arial"/>
                <w:sz w:val="20"/>
                <w:szCs w:val="20"/>
              </w:rPr>
              <w:t>60 059</w:t>
            </w:r>
          </w:p>
        </w:tc>
        <w:tc>
          <w:tcPr>
            <w:tcW w:w="1073" w:type="dxa"/>
            <w:noWrap/>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32A">
              <w:rPr>
                <w:rFonts w:cs="Arial"/>
                <w:sz w:val="20"/>
                <w:szCs w:val="20"/>
              </w:rPr>
              <w:t>62 669</w:t>
            </w:r>
          </w:p>
        </w:tc>
        <w:tc>
          <w:tcPr>
            <w:tcW w:w="1073" w:type="dxa"/>
            <w:vAlign w:val="center"/>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32A">
              <w:rPr>
                <w:rFonts w:cs="Arial"/>
                <w:sz w:val="20"/>
                <w:szCs w:val="20"/>
              </w:rPr>
              <w:t>64 829</w:t>
            </w:r>
          </w:p>
        </w:tc>
        <w:tc>
          <w:tcPr>
            <w:tcW w:w="1073" w:type="dxa"/>
            <w:noWrap/>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32A">
              <w:rPr>
                <w:rFonts w:cs="Arial"/>
                <w:sz w:val="20"/>
                <w:szCs w:val="20"/>
              </w:rPr>
              <w:t>69 248</w:t>
            </w:r>
          </w:p>
        </w:tc>
        <w:tc>
          <w:tcPr>
            <w:tcW w:w="1073" w:type="dxa"/>
            <w:vAlign w:val="center"/>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32A">
              <w:rPr>
                <w:rFonts w:cs="Arial"/>
                <w:sz w:val="20"/>
                <w:szCs w:val="20"/>
              </w:rPr>
              <w:t>72 310</w:t>
            </w:r>
          </w:p>
        </w:tc>
        <w:tc>
          <w:tcPr>
            <w:tcW w:w="1074" w:type="dxa"/>
            <w:vAlign w:val="center"/>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32A">
              <w:rPr>
                <w:rFonts w:cs="Arial"/>
                <w:sz w:val="20"/>
                <w:szCs w:val="20"/>
              </w:rPr>
              <w:t>75 144</w:t>
            </w:r>
          </w:p>
        </w:tc>
      </w:tr>
      <w:tr w:rsidR="00F07342" w:rsidRPr="001D032A" w:rsidTr="00F07342">
        <w:trPr>
          <w:trHeight w:val="586"/>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rsidR="00F07342" w:rsidRPr="001D032A" w:rsidRDefault="00F07342" w:rsidP="00F07342">
            <w:pPr>
              <w:rPr>
                <w:rFonts w:eastAsia="Times New Roman" w:cs="Arial"/>
                <w:b w:val="0"/>
                <w:bCs w:val="0"/>
                <w:color w:val="000000"/>
                <w:sz w:val="20"/>
                <w:szCs w:val="20"/>
              </w:rPr>
            </w:pPr>
            <w:r w:rsidRPr="001D032A">
              <w:rPr>
                <w:rFonts w:eastAsia="Times New Roman" w:cs="Arial"/>
                <w:b w:val="0"/>
                <w:bCs w:val="0"/>
                <w:color w:val="000000"/>
                <w:sz w:val="20"/>
                <w:szCs w:val="20"/>
              </w:rPr>
              <w:t>Náklady na lůžkovou péči</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1D032A">
              <w:rPr>
                <w:rFonts w:eastAsia="Times New Roman" w:cs="Arial"/>
                <w:color w:val="000000"/>
                <w:sz w:val="20"/>
                <w:szCs w:val="20"/>
              </w:rPr>
              <w:t>113 766</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112 742</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122 547</w:t>
            </w:r>
          </w:p>
        </w:tc>
        <w:tc>
          <w:tcPr>
            <w:tcW w:w="1073" w:type="dxa"/>
            <w:vAlign w:val="center"/>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1267 454</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132 958</w:t>
            </w:r>
          </w:p>
        </w:tc>
        <w:tc>
          <w:tcPr>
            <w:tcW w:w="1073" w:type="dxa"/>
            <w:vAlign w:val="center"/>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142 198</w:t>
            </w:r>
          </w:p>
        </w:tc>
        <w:tc>
          <w:tcPr>
            <w:tcW w:w="1074" w:type="dxa"/>
            <w:vAlign w:val="center"/>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155 650</w:t>
            </w:r>
          </w:p>
        </w:tc>
      </w:tr>
      <w:tr w:rsidR="00F07342" w:rsidRPr="001D032A" w:rsidTr="00F0734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rsidR="00F07342" w:rsidRPr="001D032A" w:rsidRDefault="00F07342" w:rsidP="00F07342">
            <w:pPr>
              <w:rPr>
                <w:rFonts w:eastAsia="Times New Roman" w:cs="Arial"/>
                <w:b w:val="0"/>
                <w:bCs w:val="0"/>
                <w:color w:val="000000"/>
                <w:sz w:val="20"/>
                <w:szCs w:val="20"/>
              </w:rPr>
            </w:pPr>
            <w:r w:rsidRPr="001D032A">
              <w:rPr>
                <w:rFonts w:eastAsia="Times New Roman" w:cs="Arial"/>
                <w:b w:val="0"/>
                <w:bCs w:val="0"/>
                <w:color w:val="000000"/>
                <w:sz w:val="20"/>
                <w:szCs w:val="20"/>
              </w:rPr>
              <w:t>Ostatní náklady</w:t>
            </w:r>
          </w:p>
        </w:tc>
        <w:tc>
          <w:tcPr>
            <w:tcW w:w="1073" w:type="dxa"/>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1D032A">
              <w:rPr>
                <w:rFonts w:eastAsia="Times New Roman" w:cs="Arial"/>
                <w:color w:val="000000"/>
                <w:sz w:val="20"/>
                <w:szCs w:val="20"/>
              </w:rPr>
              <w:t>50 473</w:t>
            </w:r>
          </w:p>
        </w:tc>
        <w:tc>
          <w:tcPr>
            <w:tcW w:w="1073" w:type="dxa"/>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47 841</w:t>
            </w:r>
          </w:p>
        </w:tc>
        <w:tc>
          <w:tcPr>
            <w:tcW w:w="1073" w:type="dxa"/>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48 743</w:t>
            </w:r>
          </w:p>
        </w:tc>
        <w:tc>
          <w:tcPr>
            <w:tcW w:w="1073" w:type="dxa"/>
            <w:vAlign w:val="center"/>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49 692</w:t>
            </w:r>
          </w:p>
        </w:tc>
        <w:tc>
          <w:tcPr>
            <w:tcW w:w="1073" w:type="dxa"/>
            <w:vAlign w:val="center"/>
            <w:hideMark/>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51 218</w:t>
            </w:r>
          </w:p>
        </w:tc>
        <w:tc>
          <w:tcPr>
            <w:tcW w:w="1073" w:type="dxa"/>
            <w:vAlign w:val="center"/>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52 599</w:t>
            </w:r>
          </w:p>
        </w:tc>
        <w:tc>
          <w:tcPr>
            <w:tcW w:w="1074" w:type="dxa"/>
            <w:vAlign w:val="center"/>
          </w:tcPr>
          <w:p w:rsidR="00F07342" w:rsidRPr="001D032A" w:rsidRDefault="00F07342" w:rsidP="00F07342">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54 716</w:t>
            </w:r>
          </w:p>
        </w:tc>
      </w:tr>
      <w:tr w:rsidR="00F07342" w:rsidRPr="001D032A" w:rsidTr="00F07342">
        <w:trPr>
          <w:trHeight w:val="586"/>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rsidR="00F07342" w:rsidRPr="001D032A" w:rsidRDefault="00F07342" w:rsidP="00F07342">
            <w:pPr>
              <w:rPr>
                <w:rFonts w:eastAsia="Times New Roman" w:cs="Arial"/>
                <w:b w:val="0"/>
                <w:bCs w:val="0"/>
                <w:color w:val="000000"/>
                <w:sz w:val="20"/>
                <w:szCs w:val="20"/>
              </w:rPr>
            </w:pPr>
            <w:r w:rsidRPr="001D032A">
              <w:rPr>
                <w:rFonts w:eastAsia="Times New Roman" w:cs="Arial"/>
                <w:b w:val="0"/>
                <w:bCs w:val="0"/>
                <w:color w:val="000000"/>
                <w:sz w:val="20"/>
                <w:szCs w:val="20"/>
              </w:rPr>
              <w:t>Celkové náklady</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r w:rsidRPr="001D032A">
              <w:rPr>
                <w:rFonts w:eastAsia="Times New Roman" w:cs="Arial"/>
                <w:b/>
                <w:bCs/>
                <w:color w:val="000000"/>
                <w:sz w:val="20"/>
                <w:szCs w:val="20"/>
              </w:rPr>
              <w:t>223 000</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220 642</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233 959</w:t>
            </w:r>
          </w:p>
        </w:tc>
        <w:tc>
          <w:tcPr>
            <w:tcW w:w="1073" w:type="dxa"/>
            <w:vAlign w:val="center"/>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241 975</w:t>
            </w:r>
          </w:p>
        </w:tc>
        <w:tc>
          <w:tcPr>
            <w:tcW w:w="1073" w:type="dxa"/>
            <w:vAlign w:val="center"/>
            <w:hideMark/>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253 424</w:t>
            </w:r>
          </w:p>
        </w:tc>
        <w:tc>
          <w:tcPr>
            <w:tcW w:w="1073" w:type="dxa"/>
            <w:vAlign w:val="center"/>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267 107</w:t>
            </w:r>
          </w:p>
        </w:tc>
        <w:tc>
          <w:tcPr>
            <w:tcW w:w="1074" w:type="dxa"/>
            <w:vAlign w:val="center"/>
          </w:tcPr>
          <w:p w:rsidR="00F07342" w:rsidRPr="001D032A" w:rsidRDefault="00F07342" w:rsidP="00F07342">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285 510</w:t>
            </w:r>
          </w:p>
        </w:tc>
      </w:tr>
    </w:tbl>
    <w:p w:rsidR="008D172B" w:rsidRPr="001D032A" w:rsidRDefault="008D172B" w:rsidP="002C0E1B">
      <w:pPr>
        <w:pStyle w:val="Bezmezer"/>
      </w:pPr>
      <w:r w:rsidRPr="001D032A">
        <w:t>* očekávaná skutečnost</w:t>
      </w:r>
    </w:p>
    <w:p w:rsidR="008D172B" w:rsidRPr="001D032A" w:rsidRDefault="008D172B" w:rsidP="002C0E1B">
      <w:pPr>
        <w:pStyle w:val="Bezmezer"/>
      </w:pPr>
      <w:r w:rsidRPr="001D032A">
        <w:t xml:space="preserve">** převzato ze zdravotních pojistných plánů </w:t>
      </w:r>
    </w:p>
    <w:p w:rsidR="002C0E1B" w:rsidRPr="001D032A" w:rsidRDefault="008D172B" w:rsidP="00CE6FBC">
      <w:pPr>
        <w:pStyle w:val="Nadpis3"/>
        <w:jc w:val="center"/>
      </w:pPr>
      <w:bookmarkStart w:id="38" w:name="_Toc491000233"/>
      <w:bookmarkStart w:id="39" w:name="_Toc525944153"/>
      <w:r w:rsidRPr="001D032A">
        <w:t>Zdroj: Ministerstvo zdravotnictví ČR</w:t>
      </w:r>
      <w:bookmarkEnd w:id="38"/>
      <w:bookmarkEnd w:id="39"/>
    </w:p>
    <w:p w:rsidR="002C0E1B" w:rsidRPr="001D032A" w:rsidRDefault="002C0E1B" w:rsidP="002C0E1B">
      <w:pPr>
        <w:rPr>
          <w:sz w:val="18"/>
          <w:szCs w:val="18"/>
        </w:rPr>
      </w:pPr>
    </w:p>
    <w:p w:rsidR="008D172B" w:rsidRPr="001D032A" w:rsidRDefault="008D172B" w:rsidP="002C0E1B">
      <w:pPr>
        <w:pStyle w:val="Nadpis2"/>
      </w:pPr>
      <w:bookmarkStart w:id="40" w:name="_Toc460456837"/>
      <w:bookmarkStart w:id="41" w:name="_Toc525944498"/>
      <w:r w:rsidRPr="001D032A">
        <w:t>Komparace zdravotních pojišťoven</w:t>
      </w:r>
      <w:bookmarkEnd w:id="40"/>
      <w:bookmarkEnd w:id="41"/>
    </w:p>
    <w:p w:rsidR="008D172B" w:rsidRPr="001D032A" w:rsidRDefault="008D172B" w:rsidP="002C0E1B">
      <w:pPr>
        <w:pStyle w:val="Nadpis3"/>
      </w:pPr>
      <w:bookmarkStart w:id="42" w:name="_Toc460455298"/>
      <w:bookmarkStart w:id="43" w:name="_Toc525944154"/>
      <w:r w:rsidRPr="001D032A">
        <w:t>Tabulka 3: Přehled vybraných indikátorů zdravotních pojišťoven</w:t>
      </w:r>
      <w:bookmarkEnd w:id="42"/>
      <w:bookmarkEnd w:id="43"/>
    </w:p>
    <w:tbl>
      <w:tblPr>
        <w:tblStyle w:val="Stednmka3zvraznn1"/>
        <w:tblW w:w="9062" w:type="dxa"/>
        <w:tblLayout w:type="fixed"/>
        <w:tblLook w:val="04A0" w:firstRow="1" w:lastRow="0" w:firstColumn="1" w:lastColumn="0" w:noHBand="0" w:noVBand="1"/>
      </w:tblPr>
      <w:tblGrid>
        <w:gridCol w:w="3091"/>
        <w:gridCol w:w="853"/>
        <w:gridCol w:w="853"/>
        <w:gridCol w:w="853"/>
        <w:gridCol w:w="853"/>
        <w:gridCol w:w="853"/>
        <w:gridCol w:w="853"/>
        <w:gridCol w:w="853"/>
      </w:tblGrid>
      <w:tr w:rsidR="008D172B" w:rsidRPr="001D032A" w:rsidTr="002D4D03">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420123">
            <w:pPr>
              <w:jc w:val="center"/>
              <w:rPr>
                <w:rFonts w:eastAsia="Times New Roman" w:cs="Arial"/>
                <w:bCs w:val="0"/>
                <w:sz w:val="24"/>
                <w:szCs w:val="24"/>
                <w:lang w:val="cs-CZ"/>
              </w:rPr>
            </w:pPr>
            <w:r w:rsidRPr="001D032A">
              <w:rPr>
                <w:rFonts w:eastAsia="Times New Roman" w:cs="Arial"/>
                <w:bCs w:val="0"/>
                <w:sz w:val="24"/>
                <w:szCs w:val="24"/>
                <w:lang w:val="cs-CZ"/>
              </w:rPr>
              <w:t>Indikátor/Pojišťovna</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VZP ČR</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VoZP ČR</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ČPZP</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OZP</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ZPŠ</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ZP</w:t>
            </w:r>
            <w:r w:rsidR="00822DC0" w:rsidRPr="001D032A">
              <w:rPr>
                <w:rFonts w:eastAsia="Times New Roman" w:cs="Arial"/>
                <w:bCs w:val="0"/>
                <w:sz w:val="16"/>
                <w:szCs w:val="16"/>
                <w:lang w:val="cs-CZ"/>
              </w:rPr>
              <w:t> </w:t>
            </w:r>
            <w:r w:rsidRPr="001D032A">
              <w:rPr>
                <w:rFonts w:eastAsia="Times New Roman" w:cs="Arial"/>
                <w:bCs w:val="0"/>
                <w:sz w:val="24"/>
                <w:szCs w:val="24"/>
                <w:lang w:val="cs-CZ"/>
              </w:rPr>
              <w:t>MV ČR</w:t>
            </w:r>
          </w:p>
        </w:tc>
        <w:tc>
          <w:tcPr>
            <w:tcW w:w="853" w:type="dxa"/>
            <w:noWrap/>
            <w:vAlign w:val="center"/>
            <w:hideMark/>
          </w:tcPr>
          <w:p w:rsidR="008D172B" w:rsidRPr="001D032A" w:rsidRDefault="008D172B" w:rsidP="0042012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4"/>
                <w:szCs w:val="24"/>
                <w:lang w:val="cs-CZ"/>
              </w:rPr>
            </w:pPr>
            <w:r w:rsidRPr="001D032A">
              <w:rPr>
                <w:rFonts w:eastAsia="Times New Roman" w:cs="Arial"/>
                <w:bCs w:val="0"/>
                <w:sz w:val="24"/>
                <w:szCs w:val="24"/>
                <w:lang w:val="cs-CZ"/>
              </w:rPr>
              <w:t>RBP</w:t>
            </w:r>
          </w:p>
        </w:tc>
      </w:tr>
      <w:tr w:rsidR="008D172B" w:rsidRPr="001D032A" w:rsidTr="002D4D0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Počet pojištěnců</w:t>
            </w:r>
            <w:r w:rsidR="00983359" w:rsidRPr="001D032A">
              <w:rPr>
                <w:rFonts w:eastAsia="Times New Roman" w:cs="Times New Roman"/>
                <w:b w:val="0"/>
                <w:bCs w:val="0"/>
                <w:color w:val="000000"/>
                <w:sz w:val="20"/>
                <w:szCs w:val="20"/>
                <w:lang w:val="cs-CZ"/>
              </w:rPr>
              <w:t xml:space="preserve"> (v tis</w:t>
            </w:r>
            <w:r w:rsidR="005E0D53" w:rsidRPr="001D032A">
              <w:rPr>
                <w:rFonts w:eastAsia="Times New Roman" w:cs="Times New Roman"/>
                <w:b w:val="0"/>
                <w:bCs w:val="0"/>
                <w:color w:val="000000"/>
                <w:sz w:val="20"/>
                <w:szCs w:val="20"/>
                <w:lang w:val="cs-CZ"/>
              </w:rPr>
              <w:t>.</w:t>
            </w:r>
            <w:r w:rsidR="00983359" w:rsidRPr="001D032A">
              <w:rPr>
                <w:rFonts w:eastAsia="Times New Roman" w:cs="Times New Roman"/>
                <w:b w:val="0"/>
                <w:bCs w:val="0"/>
                <w:color w:val="000000"/>
                <w:sz w:val="20"/>
                <w:szCs w:val="20"/>
                <w:lang w:val="cs-CZ"/>
              </w:rPr>
              <w:t>)</w:t>
            </w:r>
          </w:p>
        </w:tc>
        <w:tc>
          <w:tcPr>
            <w:tcW w:w="853" w:type="dxa"/>
            <w:noWrap/>
            <w:vAlign w:val="center"/>
            <w:hideMark/>
          </w:tcPr>
          <w:p w:rsidR="008D172B" w:rsidRPr="001D032A" w:rsidRDefault="0098335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5 926</w:t>
            </w:r>
          </w:p>
        </w:tc>
        <w:tc>
          <w:tcPr>
            <w:tcW w:w="853" w:type="dxa"/>
            <w:noWrap/>
            <w:vAlign w:val="center"/>
            <w:hideMark/>
          </w:tcPr>
          <w:p w:rsidR="008D172B" w:rsidRPr="001D032A" w:rsidRDefault="006D3B40"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700</w:t>
            </w:r>
          </w:p>
        </w:tc>
        <w:tc>
          <w:tcPr>
            <w:tcW w:w="853" w:type="dxa"/>
            <w:noWrap/>
            <w:vAlign w:val="center"/>
            <w:hideMark/>
          </w:tcPr>
          <w:p w:rsidR="008D172B" w:rsidRPr="001D032A" w:rsidRDefault="00466072"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1 24</w:t>
            </w:r>
            <w:r w:rsidR="0077363A" w:rsidRPr="001D032A">
              <w:rPr>
                <w:rFonts w:eastAsia="Times New Roman" w:cs="Times New Roman"/>
                <w:color w:val="000000"/>
                <w:sz w:val="20"/>
                <w:szCs w:val="20"/>
                <w:lang w:val="cs-CZ"/>
              </w:rPr>
              <w:t>4</w:t>
            </w:r>
          </w:p>
        </w:tc>
        <w:tc>
          <w:tcPr>
            <w:tcW w:w="853" w:type="dxa"/>
            <w:noWrap/>
            <w:vAlign w:val="center"/>
            <w:hideMark/>
          </w:tcPr>
          <w:p w:rsidR="008D172B" w:rsidRPr="001D032A" w:rsidRDefault="00C81585"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7</w:t>
            </w:r>
            <w:r w:rsidR="00725616" w:rsidRPr="001D032A">
              <w:rPr>
                <w:rFonts w:eastAsia="Times New Roman" w:cs="Times New Roman"/>
                <w:color w:val="000000"/>
                <w:sz w:val="20"/>
                <w:szCs w:val="20"/>
                <w:lang w:val="cs-CZ"/>
              </w:rPr>
              <w:t>31</w:t>
            </w:r>
          </w:p>
        </w:tc>
        <w:tc>
          <w:tcPr>
            <w:tcW w:w="853" w:type="dxa"/>
            <w:noWrap/>
            <w:vAlign w:val="center"/>
            <w:hideMark/>
          </w:tcPr>
          <w:p w:rsidR="008D172B" w:rsidRPr="001D032A" w:rsidRDefault="00382B9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14</w:t>
            </w:r>
            <w:r w:rsidR="00822DC0" w:rsidRPr="001D032A">
              <w:rPr>
                <w:rFonts w:eastAsia="Times New Roman" w:cs="Times New Roman"/>
                <w:color w:val="000000"/>
                <w:sz w:val="20"/>
                <w:szCs w:val="20"/>
                <w:lang w:val="cs-CZ"/>
              </w:rPr>
              <w:t>3</w:t>
            </w:r>
          </w:p>
        </w:tc>
        <w:tc>
          <w:tcPr>
            <w:tcW w:w="853" w:type="dxa"/>
            <w:noWrap/>
            <w:vAlign w:val="center"/>
            <w:hideMark/>
          </w:tcPr>
          <w:p w:rsidR="008D172B" w:rsidRPr="001D032A" w:rsidRDefault="00A971CA"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w:t>
            </w:r>
            <w:r w:rsidR="00ED2C86" w:rsidRPr="001D032A">
              <w:rPr>
                <w:rFonts w:eastAsia="Times New Roman" w:cs="Times New Roman"/>
                <w:color w:val="000000"/>
                <w:sz w:val="20"/>
                <w:szCs w:val="20"/>
                <w:lang w:val="cs-CZ"/>
              </w:rPr>
              <w:t>307</w:t>
            </w:r>
          </w:p>
        </w:tc>
        <w:tc>
          <w:tcPr>
            <w:tcW w:w="853" w:type="dxa"/>
            <w:noWrap/>
            <w:vAlign w:val="center"/>
            <w:hideMark/>
          </w:tcPr>
          <w:p w:rsidR="008D172B" w:rsidRPr="001D032A" w:rsidRDefault="00912C1D"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4</w:t>
            </w:r>
            <w:r w:rsidR="00F82223" w:rsidRPr="001D032A">
              <w:rPr>
                <w:rFonts w:eastAsia="Times New Roman" w:cs="Times New Roman"/>
                <w:color w:val="000000"/>
                <w:sz w:val="20"/>
                <w:szCs w:val="20"/>
                <w:lang w:val="cs-CZ"/>
              </w:rPr>
              <w:t>30</w:t>
            </w:r>
          </w:p>
        </w:tc>
      </w:tr>
      <w:tr w:rsidR="008D172B" w:rsidRPr="001D032A" w:rsidTr="002D4D03">
        <w:trPr>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Počet pojištěnců na zaměstnance</w:t>
            </w:r>
          </w:p>
        </w:tc>
        <w:tc>
          <w:tcPr>
            <w:tcW w:w="853" w:type="dxa"/>
            <w:noWrap/>
            <w:vAlign w:val="center"/>
            <w:hideMark/>
          </w:tcPr>
          <w:p w:rsidR="008D172B" w:rsidRPr="001D032A" w:rsidRDefault="005D7479"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1 6</w:t>
            </w:r>
            <w:r w:rsidR="00983359" w:rsidRPr="001D032A">
              <w:rPr>
                <w:rFonts w:eastAsia="Times New Roman" w:cs="Times New Roman"/>
                <w:color w:val="000000"/>
                <w:sz w:val="20"/>
                <w:szCs w:val="20"/>
                <w:lang w:val="cs-CZ"/>
              </w:rPr>
              <w:t>24</w:t>
            </w:r>
          </w:p>
        </w:tc>
        <w:tc>
          <w:tcPr>
            <w:tcW w:w="853" w:type="dxa"/>
            <w:noWrap/>
            <w:vAlign w:val="center"/>
          </w:tcPr>
          <w:p w:rsidR="008D172B" w:rsidRPr="001D032A" w:rsidRDefault="006D3B40"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1 </w:t>
            </w:r>
            <w:r w:rsidR="00F035EE" w:rsidRPr="001D032A">
              <w:rPr>
                <w:rFonts w:eastAsia="Times New Roman" w:cs="Times New Roman"/>
                <w:color w:val="000000"/>
                <w:sz w:val="20"/>
                <w:szCs w:val="20"/>
                <w:lang w:val="cs-CZ"/>
              </w:rPr>
              <w:t>647</w:t>
            </w:r>
          </w:p>
        </w:tc>
        <w:tc>
          <w:tcPr>
            <w:tcW w:w="853" w:type="dxa"/>
            <w:noWrap/>
            <w:vAlign w:val="center"/>
          </w:tcPr>
          <w:p w:rsidR="008D172B" w:rsidRPr="001D032A" w:rsidRDefault="00C81585"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1 9</w:t>
            </w:r>
            <w:r w:rsidR="00725616" w:rsidRPr="001D032A">
              <w:rPr>
                <w:rFonts w:eastAsia="Times New Roman" w:cs="Times New Roman"/>
                <w:color w:val="000000"/>
                <w:sz w:val="20"/>
                <w:szCs w:val="20"/>
                <w:lang w:val="cs-CZ"/>
              </w:rPr>
              <w:t>47</w:t>
            </w:r>
          </w:p>
        </w:tc>
        <w:tc>
          <w:tcPr>
            <w:tcW w:w="853" w:type="dxa"/>
            <w:noWrap/>
            <w:vAlign w:val="center"/>
          </w:tcPr>
          <w:p w:rsidR="008D172B" w:rsidRPr="001D032A" w:rsidRDefault="00C81585"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1 8</w:t>
            </w:r>
            <w:r w:rsidR="00725616" w:rsidRPr="001D032A">
              <w:rPr>
                <w:rFonts w:eastAsia="Times New Roman" w:cs="Times New Roman"/>
                <w:color w:val="000000"/>
                <w:sz w:val="20"/>
                <w:szCs w:val="20"/>
                <w:lang w:val="cs-CZ"/>
              </w:rPr>
              <w:t>64</w:t>
            </w:r>
          </w:p>
        </w:tc>
        <w:tc>
          <w:tcPr>
            <w:tcW w:w="853" w:type="dxa"/>
            <w:noWrap/>
            <w:vAlign w:val="center"/>
          </w:tcPr>
          <w:p w:rsidR="008D172B" w:rsidRPr="001D032A" w:rsidRDefault="00382B99"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1 8</w:t>
            </w:r>
            <w:r w:rsidR="00822DC0" w:rsidRPr="001D032A">
              <w:rPr>
                <w:rFonts w:eastAsia="Times New Roman" w:cs="Times New Roman"/>
                <w:color w:val="000000"/>
                <w:sz w:val="20"/>
                <w:szCs w:val="20"/>
                <w:lang w:val="cs-CZ"/>
              </w:rPr>
              <w:t>35</w:t>
            </w:r>
          </w:p>
        </w:tc>
        <w:tc>
          <w:tcPr>
            <w:tcW w:w="853" w:type="dxa"/>
            <w:noWrap/>
            <w:vAlign w:val="center"/>
          </w:tcPr>
          <w:p w:rsidR="008D172B" w:rsidRPr="001D032A" w:rsidRDefault="00A971CA"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2 </w:t>
            </w:r>
            <w:r w:rsidR="00ED2C86" w:rsidRPr="001D032A">
              <w:rPr>
                <w:rFonts w:eastAsia="Times New Roman" w:cs="Times New Roman"/>
                <w:color w:val="000000"/>
                <w:sz w:val="20"/>
                <w:szCs w:val="20"/>
                <w:lang w:val="cs-CZ"/>
              </w:rPr>
              <w:t>029</w:t>
            </w:r>
          </w:p>
        </w:tc>
        <w:tc>
          <w:tcPr>
            <w:tcW w:w="853" w:type="dxa"/>
            <w:noWrap/>
            <w:vAlign w:val="center"/>
            <w:hideMark/>
          </w:tcPr>
          <w:p w:rsidR="008D172B" w:rsidRPr="001D032A" w:rsidRDefault="00912C1D"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1 </w:t>
            </w:r>
            <w:r w:rsidR="00625033" w:rsidRPr="001D032A">
              <w:rPr>
                <w:rFonts w:eastAsia="Times New Roman" w:cs="Times New Roman"/>
                <w:color w:val="000000"/>
                <w:sz w:val="20"/>
                <w:szCs w:val="20"/>
                <w:lang w:val="cs-CZ"/>
              </w:rPr>
              <w:t>876</w:t>
            </w:r>
          </w:p>
        </w:tc>
      </w:tr>
      <w:tr w:rsidR="008D172B" w:rsidRPr="001D032A" w:rsidTr="002D4D0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 xml:space="preserve">Kumulovaný rozdíl </w:t>
            </w:r>
            <w:r w:rsidR="00983359" w:rsidRPr="001D032A">
              <w:rPr>
                <w:rFonts w:eastAsia="Times New Roman" w:cs="Times New Roman"/>
                <w:b w:val="0"/>
                <w:bCs w:val="0"/>
                <w:color w:val="000000"/>
                <w:sz w:val="20"/>
                <w:szCs w:val="20"/>
                <w:lang w:val="cs-CZ"/>
              </w:rPr>
              <w:t>příjmů – výdajů</w:t>
            </w:r>
            <w:r w:rsidRPr="001D032A">
              <w:rPr>
                <w:rFonts w:eastAsia="Times New Roman" w:cs="Times New Roman"/>
                <w:b w:val="0"/>
                <w:bCs w:val="0"/>
                <w:color w:val="000000"/>
                <w:sz w:val="20"/>
                <w:szCs w:val="20"/>
                <w:lang w:val="cs-CZ"/>
              </w:rPr>
              <w:t xml:space="preserve"> </w:t>
            </w:r>
          </w:p>
          <w:p w:rsidR="008D172B" w:rsidRPr="001D032A" w:rsidRDefault="00983359"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2014–2018</w:t>
            </w:r>
            <w:r w:rsidR="008D172B" w:rsidRPr="001D032A">
              <w:rPr>
                <w:rFonts w:eastAsia="Times New Roman" w:cs="Times New Roman"/>
                <w:b w:val="0"/>
                <w:bCs w:val="0"/>
                <w:color w:val="000000"/>
                <w:sz w:val="20"/>
                <w:szCs w:val="20"/>
                <w:lang w:val="cs-CZ"/>
              </w:rPr>
              <w:t xml:space="preserve"> (</w:t>
            </w:r>
            <w:r w:rsidRPr="001D032A">
              <w:rPr>
                <w:rFonts w:eastAsia="Times New Roman" w:cs="Times New Roman"/>
                <w:b w:val="0"/>
                <w:bCs w:val="0"/>
                <w:color w:val="000000"/>
                <w:sz w:val="20"/>
                <w:szCs w:val="20"/>
                <w:lang w:val="cs-CZ"/>
              </w:rPr>
              <w:t>v mil</w:t>
            </w:r>
            <w:r w:rsidR="005E0D53" w:rsidRPr="001D032A">
              <w:rPr>
                <w:rFonts w:eastAsia="Times New Roman" w:cs="Times New Roman"/>
                <w:b w:val="0"/>
                <w:bCs w:val="0"/>
                <w:color w:val="000000"/>
                <w:sz w:val="20"/>
                <w:szCs w:val="20"/>
                <w:lang w:val="cs-CZ"/>
              </w:rPr>
              <w:t>.</w:t>
            </w:r>
            <w:r w:rsidRPr="001D032A">
              <w:rPr>
                <w:rFonts w:eastAsia="Times New Roman" w:cs="Times New Roman"/>
                <w:b w:val="0"/>
                <w:bCs w:val="0"/>
                <w:color w:val="000000"/>
                <w:sz w:val="20"/>
                <w:szCs w:val="20"/>
                <w:lang w:val="cs-CZ"/>
              </w:rPr>
              <w:t xml:space="preserve"> Kč</w:t>
            </w:r>
            <w:r w:rsidR="008D172B" w:rsidRPr="001D032A">
              <w:rPr>
                <w:rFonts w:eastAsia="Times New Roman" w:cs="Times New Roman"/>
                <w:b w:val="0"/>
                <w:bCs w:val="0"/>
                <w:color w:val="000000"/>
                <w:sz w:val="20"/>
                <w:szCs w:val="20"/>
                <w:lang w:val="cs-CZ"/>
              </w:rPr>
              <w:t>)</w:t>
            </w:r>
          </w:p>
        </w:tc>
        <w:tc>
          <w:tcPr>
            <w:tcW w:w="853" w:type="dxa"/>
            <w:noWrap/>
            <w:vAlign w:val="center"/>
            <w:hideMark/>
          </w:tcPr>
          <w:p w:rsidR="008D172B" w:rsidRPr="001D032A" w:rsidRDefault="0098335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16 758</w:t>
            </w:r>
          </w:p>
        </w:tc>
        <w:tc>
          <w:tcPr>
            <w:tcW w:w="853" w:type="dxa"/>
            <w:noWrap/>
            <w:vAlign w:val="center"/>
          </w:tcPr>
          <w:p w:rsidR="008D172B" w:rsidRPr="001D032A" w:rsidRDefault="009C16B0"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F035EE" w:rsidRPr="001D032A">
              <w:rPr>
                <w:rFonts w:eastAsia="Times New Roman" w:cs="Times New Roman"/>
                <w:color w:val="000000"/>
                <w:sz w:val="20"/>
                <w:szCs w:val="20"/>
                <w:lang w:val="cs-CZ"/>
              </w:rPr>
              <w:t>70</w:t>
            </w:r>
          </w:p>
        </w:tc>
        <w:tc>
          <w:tcPr>
            <w:tcW w:w="853" w:type="dxa"/>
            <w:noWrap/>
            <w:vAlign w:val="center"/>
          </w:tcPr>
          <w:p w:rsidR="008D172B" w:rsidRPr="001D032A" w:rsidRDefault="00C81585"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725616" w:rsidRPr="001D032A">
              <w:rPr>
                <w:rFonts w:eastAsia="Times New Roman" w:cs="Times New Roman"/>
                <w:color w:val="000000"/>
                <w:sz w:val="20"/>
                <w:szCs w:val="20"/>
                <w:lang w:val="cs-CZ"/>
              </w:rPr>
              <w:t>655</w:t>
            </w:r>
          </w:p>
        </w:tc>
        <w:tc>
          <w:tcPr>
            <w:tcW w:w="853" w:type="dxa"/>
            <w:noWrap/>
            <w:vAlign w:val="center"/>
          </w:tcPr>
          <w:p w:rsidR="008D172B" w:rsidRPr="001D032A" w:rsidRDefault="0072561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1 308</w:t>
            </w:r>
          </w:p>
        </w:tc>
        <w:tc>
          <w:tcPr>
            <w:tcW w:w="853" w:type="dxa"/>
            <w:noWrap/>
            <w:vAlign w:val="center"/>
          </w:tcPr>
          <w:p w:rsidR="008D172B" w:rsidRPr="001D032A" w:rsidRDefault="00822DC0"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114</w:t>
            </w:r>
          </w:p>
        </w:tc>
        <w:tc>
          <w:tcPr>
            <w:tcW w:w="853" w:type="dxa"/>
            <w:noWrap/>
            <w:vAlign w:val="center"/>
          </w:tcPr>
          <w:p w:rsidR="008D172B" w:rsidRPr="001D032A" w:rsidRDefault="00A971CA"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ED2C86" w:rsidRPr="001D032A">
              <w:rPr>
                <w:rFonts w:eastAsia="Times New Roman" w:cs="Times New Roman"/>
                <w:color w:val="000000"/>
                <w:sz w:val="20"/>
                <w:szCs w:val="20"/>
                <w:lang w:val="cs-CZ"/>
              </w:rPr>
              <w:t>643</w:t>
            </w:r>
          </w:p>
        </w:tc>
        <w:tc>
          <w:tcPr>
            <w:tcW w:w="853" w:type="dxa"/>
            <w:noWrap/>
            <w:vAlign w:val="center"/>
            <w:hideMark/>
          </w:tcPr>
          <w:p w:rsidR="008D172B" w:rsidRPr="001D032A" w:rsidRDefault="00912C1D"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625033" w:rsidRPr="001D032A">
              <w:rPr>
                <w:rFonts w:eastAsia="Times New Roman" w:cs="Times New Roman"/>
                <w:color w:val="000000"/>
                <w:sz w:val="20"/>
                <w:szCs w:val="20"/>
                <w:lang w:val="cs-CZ"/>
              </w:rPr>
              <w:t>383</w:t>
            </w:r>
          </w:p>
        </w:tc>
      </w:tr>
      <w:tr w:rsidR="008D172B" w:rsidRPr="001D032A" w:rsidTr="002D4D03">
        <w:trPr>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 xml:space="preserve">Kumulovaný rozdíl </w:t>
            </w:r>
            <w:r w:rsidR="00983359" w:rsidRPr="001D032A">
              <w:rPr>
                <w:rFonts w:eastAsia="Times New Roman" w:cs="Times New Roman"/>
                <w:b w:val="0"/>
                <w:bCs w:val="0"/>
                <w:color w:val="000000"/>
                <w:sz w:val="20"/>
                <w:szCs w:val="20"/>
                <w:lang w:val="cs-CZ"/>
              </w:rPr>
              <w:t>příjmů – výdajů</w:t>
            </w:r>
            <w:r w:rsidRPr="001D032A">
              <w:rPr>
                <w:rFonts w:eastAsia="Times New Roman" w:cs="Times New Roman"/>
                <w:b w:val="0"/>
                <w:bCs w:val="0"/>
                <w:color w:val="000000"/>
                <w:sz w:val="20"/>
                <w:szCs w:val="20"/>
                <w:lang w:val="cs-CZ"/>
              </w:rPr>
              <w:t xml:space="preserve"> přepočtený na 1 pojištěnce (Kč)</w:t>
            </w:r>
          </w:p>
        </w:tc>
        <w:tc>
          <w:tcPr>
            <w:tcW w:w="853" w:type="dxa"/>
            <w:noWrap/>
            <w:vAlign w:val="center"/>
            <w:hideMark/>
          </w:tcPr>
          <w:p w:rsidR="008D172B" w:rsidRPr="001D032A" w:rsidRDefault="00983359"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2 828</w:t>
            </w:r>
          </w:p>
        </w:tc>
        <w:tc>
          <w:tcPr>
            <w:tcW w:w="853" w:type="dxa"/>
            <w:noWrap/>
            <w:vAlign w:val="center"/>
          </w:tcPr>
          <w:p w:rsidR="008D172B" w:rsidRPr="001D032A" w:rsidRDefault="009C16B0"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F035EE" w:rsidRPr="001D032A">
              <w:rPr>
                <w:rFonts w:eastAsia="Times New Roman" w:cs="Times New Roman"/>
                <w:color w:val="000000"/>
                <w:sz w:val="20"/>
                <w:szCs w:val="20"/>
                <w:lang w:val="cs-CZ"/>
              </w:rPr>
              <w:t>100</w:t>
            </w:r>
          </w:p>
        </w:tc>
        <w:tc>
          <w:tcPr>
            <w:tcW w:w="853" w:type="dxa"/>
            <w:noWrap/>
            <w:vAlign w:val="center"/>
          </w:tcPr>
          <w:p w:rsidR="008D172B" w:rsidRPr="001D032A" w:rsidRDefault="00C81585"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725616" w:rsidRPr="001D032A">
              <w:rPr>
                <w:rFonts w:eastAsia="Times New Roman" w:cs="Times New Roman"/>
                <w:color w:val="000000"/>
                <w:sz w:val="20"/>
                <w:szCs w:val="20"/>
                <w:lang w:val="cs-CZ"/>
              </w:rPr>
              <w:t>527</w:t>
            </w:r>
          </w:p>
        </w:tc>
        <w:tc>
          <w:tcPr>
            <w:tcW w:w="853" w:type="dxa"/>
            <w:noWrap/>
            <w:vAlign w:val="center"/>
          </w:tcPr>
          <w:p w:rsidR="008D172B" w:rsidRPr="001D032A" w:rsidRDefault="00C81585"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1 </w:t>
            </w:r>
            <w:r w:rsidR="00725616" w:rsidRPr="001D032A">
              <w:rPr>
                <w:rFonts w:eastAsia="Times New Roman" w:cs="Times New Roman"/>
                <w:color w:val="000000"/>
                <w:sz w:val="20"/>
                <w:szCs w:val="20"/>
                <w:lang w:val="cs-CZ"/>
              </w:rPr>
              <w:t>789</w:t>
            </w:r>
          </w:p>
        </w:tc>
        <w:tc>
          <w:tcPr>
            <w:tcW w:w="853" w:type="dxa"/>
            <w:noWrap/>
            <w:vAlign w:val="center"/>
          </w:tcPr>
          <w:p w:rsidR="008D172B" w:rsidRPr="001D032A" w:rsidRDefault="00822DC0"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797</w:t>
            </w:r>
          </w:p>
        </w:tc>
        <w:tc>
          <w:tcPr>
            <w:tcW w:w="853" w:type="dxa"/>
            <w:noWrap/>
            <w:vAlign w:val="center"/>
          </w:tcPr>
          <w:p w:rsidR="008D172B" w:rsidRPr="001D032A" w:rsidRDefault="00A971CA"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ED2C86" w:rsidRPr="001D032A">
              <w:rPr>
                <w:rFonts w:eastAsia="Times New Roman" w:cs="Times New Roman"/>
                <w:color w:val="000000"/>
                <w:sz w:val="20"/>
                <w:szCs w:val="20"/>
                <w:lang w:val="cs-CZ"/>
              </w:rPr>
              <w:t>492</w:t>
            </w:r>
          </w:p>
        </w:tc>
        <w:tc>
          <w:tcPr>
            <w:tcW w:w="853" w:type="dxa"/>
            <w:noWrap/>
            <w:vAlign w:val="center"/>
            <w:hideMark/>
          </w:tcPr>
          <w:p w:rsidR="008D172B" w:rsidRPr="001D032A" w:rsidRDefault="00912C1D"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w:t>
            </w:r>
            <w:r w:rsidR="00625033" w:rsidRPr="001D032A">
              <w:rPr>
                <w:rFonts w:eastAsia="Times New Roman" w:cs="Times New Roman"/>
                <w:color w:val="000000"/>
                <w:sz w:val="20"/>
                <w:szCs w:val="20"/>
                <w:lang w:val="cs-CZ"/>
              </w:rPr>
              <w:t>891</w:t>
            </w:r>
          </w:p>
        </w:tc>
      </w:tr>
      <w:tr w:rsidR="008D172B" w:rsidRPr="001D032A" w:rsidTr="002D4D0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Nárůst výdajů (%)</w:t>
            </w:r>
          </w:p>
        </w:tc>
        <w:tc>
          <w:tcPr>
            <w:tcW w:w="853" w:type="dxa"/>
            <w:noWrap/>
            <w:vAlign w:val="center"/>
            <w:hideMark/>
          </w:tcPr>
          <w:p w:rsidR="008D172B" w:rsidRPr="001D032A" w:rsidRDefault="0098335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7,5</w:t>
            </w:r>
          </w:p>
        </w:tc>
        <w:tc>
          <w:tcPr>
            <w:tcW w:w="853" w:type="dxa"/>
            <w:noWrap/>
            <w:vAlign w:val="center"/>
          </w:tcPr>
          <w:p w:rsidR="008D172B" w:rsidRPr="001D032A" w:rsidRDefault="00F035EE"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6,3</w:t>
            </w:r>
          </w:p>
        </w:tc>
        <w:tc>
          <w:tcPr>
            <w:tcW w:w="853" w:type="dxa"/>
            <w:noWrap/>
            <w:vAlign w:val="center"/>
          </w:tcPr>
          <w:p w:rsidR="008D172B" w:rsidRPr="001D032A" w:rsidRDefault="0072561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7,7</w:t>
            </w:r>
          </w:p>
        </w:tc>
        <w:tc>
          <w:tcPr>
            <w:tcW w:w="853" w:type="dxa"/>
            <w:noWrap/>
            <w:vAlign w:val="center"/>
          </w:tcPr>
          <w:p w:rsidR="008D172B" w:rsidRPr="001D032A" w:rsidRDefault="00C81585"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6,</w:t>
            </w:r>
            <w:r w:rsidR="00725616" w:rsidRPr="001D032A">
              <w:rPr>
                <w:rFonts w:eastAsia="Times New Roman" w:cs="Times New Roman"/>
                <w:color w:val="000000"/>
                <w:sz w:val="20"/>
                <w:szCs w:val="20"/>
                <w:lang w:val="cs-CZ"/>
              </w:rPr>
              <w:t>5</w:t>
            </w:r>
          </w:p>
        </w:tc>
        <w:tc>
          <w:tcPr>
            <w:tcW w:w="853" w:type="dxa"/>
            <w:noWrap/>
            <w:vAlign w:val="center"/>
          </w:tcPr>
          <w:p w:rsidR="008D172B" w:rsidRPr="001D032A" w:rsidRDefault="00382B9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6,</w:t>
            </w:r>
            <w:r w:rsidR="00822DC0" w:rsidRPr="001D032A">
              <w:rPr>
                <w:rFonts w:eastAsia="Times New Roman" w:cs="Times New Roman"/>
                <w:color w:val="000000"/>
                <w:sz w:val="20"/>
                <w:szCs w:val="20"/>
                <w:lang w:val="cs-CZ"/>
              </w:rPr>
              <w:t>7</w:t>
            </w:r>
          </w:p>
        </w:tc>
        <w:tc>
          <w:tcPr>
            <w:tcW w:w="853" w:type="dxa"/>
            <w:noWrap/>
            <w:vAlign w:val="center"/>
          </w:tcPr>
          <w:p w:rsidR="008D172B" w:rsidRPr="001D032A" w:rsidRDefault="00ED2C8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7,0</w:t>
            </w:r>
          </w:p>
        </w:tc>
        <w:tc>
          <w:tcPr>
            <w:tcW w:w="853" w:type="dxa"/>
            <w:noWrap/>
            <w:vAlign w:val="center"/>
            <w:hideMark/>
          </w:tcPr>
          <w:p w:rsidR="008D172B" w:rsidRPr="001D032A" w:rsidRDefault="00625033"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5,5</w:t>
            </w:r>
          </w:p>
        </w:tc>
      </w:tr>
      <w:tr w:rsidR="008D172B" w:rsidRPr="001D032A" w:rsidTr="002D4D03">
        <w:trPr>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Výdaje na preventivní péči přepočtené na 1 pojištěnce (Kč)</w:t>
            </w:r>
          </w:p>
        </w:tc>
        <w:tc>
          <w:tcPr>
            <w:tcW w:w="853" w:type="dxa"/>
            <w:noWrap/>
            <w:vAlign w:val="center"/>
            <w:hideMark/>
          </w:tcPr>
          <w:p w:rsidR="008D172B" w:rsidRPr="001D032A" w:rsidRDefault="0095548E"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88</w:t>
            </w:r>
          </w:p>
        </w:tc>
        <w:tc>
          <w:tcPr>
            <w:tcW w:w="853" w:type="dxa"/>
            <w:noWrap/>
            <w:vAlign w:val="center"/>
          </w:tcPr>
          <w:p w:rsidR="008D172B" w:rsidRPr="001D032A" w:rsidRDefault="00104339"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200</w:t>
            </w:r>
          </w:p>
        </w:tc>
        <w:tc>
          <w:tcPr>
            <w:tcW w:w="853" w:type="dxa"/>
            <w:noWrap/>
            <w:vAlign w:val="center"/>
          </w:tcPr>
          <w:p w:rsidR="008D172B" w:rsidRPr="001D032A" w:rsidRDefault="00725616"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172</w:t>
            </w:r>
          </w:p>
        </w:tc>
        <w:tc>
          <w:tcPr>
            <w:tcW w:w="853" w:type="dxa"/>
            <w:noWrap/>
            <w:vAlign w:val="center"/>
          </w:tcPr>
          <w:p w:rsidR="008D172B" w:rsidRPr="001D032A" w:rsidRDefault="00C81585"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11</w:t>
            </w:r>
            <w:r w:rsidR="00725616" w:rsidRPr="001D032A">
              <w:rPr>
                <w:rFonts w:eastAsia="Times New Roman" w:cs="Times New Roman"/>
                <w:color w:val="000000"/>
                <w:sz w:val="20"/>
                <w:szCs w:val="20"/>
                <w:lang w:val="cs-CZ"/>
              </w:rPr>
              <w:t>7</w:t>
            </w:r>
          </w:p>
        </w:tc>
        <w:tc>
          <w:tcPr>
            <w:tcW w:w="853" w:type="dxa"/>
            <w:noWrap/>
            <w:vAlign w:val="center"/>
          </w:tcPr>
          <w:p w:rsidR="008D172B" w:rsidRPr="001D032A" w:rsidRDefault="00382B99"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w:t>
            </w:r>
            <w:r w:rsidR="00822DC0" w:rsidRPr="001D032A">
              <w:rPr>
                <w:rFonts w:eastAsia="Times New Roman" w:cs="Times New Roman"/>
                <w:color w:val="000000"/>
                <w:sz w:val="20"/>
                <w:szCs w:val="20"/>
                <w:lang w:val="cs-CZ"/>
              </w:rPr>
              <w:t>89</w:t>
            </w:r>
          </w:p>
        </w:tc>
        <w:tc>
          <w:tcPr>
            <w:tcW w:w="853" w:type="dxa"/>
            <w:noWrap/>
            <w:vAlign w:val="center"/>
          </w:tcPr>
          <w:p w:rsidR="008D172B" w:rsidRPr="001D032A" w:rsidRDefault="00ED2C86"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113</w:t>
            </w:r>
          </w:p>
        </w:tc>
        <w:tc>
          <w:tcPr>
            <w:tcW w:w="853" w:type="dxa"/>
            <w:noWrap/>
            <w:vAlign w:val="center"/>
            <w:hideMark/>
          </w:tcPr>
          <w:p w:rsidR="008D172B" w:rsidRPr="001D032A" w:rsidRDefault="00912C1D"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w:t>
            </w:r>
            <w:r w:rsidR="00625033" w:rsidRPr="001D032A">
              <w:rPr>
                <w:rFonts w:eastAsia="Times New Roman" w:cs="Times New Roman"/>
                <w:color w:val="000000"/>
                <w:sz w:val="20"/>
                <w:szCs w:val="20"/>
                <w:lang w:val="cs-CZ"/>
              </w:rPr>
              <w:t>34</w:t>
            </w:r>
          </w:p>
        </w:tc>
      </w:tr>
      <w:tr w:rsidR="008D172B" w:rsidRPr="001D032A" w:rsidTr="002D4D0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Změna výdajů na preventivní péči (%)</w:t>
            </w:r>
          </w:p>
        </w:tc>
        <w:tc>
          <w:tcPr>
            <w:tcW w:w="853" w:type="dxa"/>
            <w:noWrap/>
            <w:vAlign w:val="center"/>
            <w:hideMark/>
          </w:tcPr>
          <w:p w:rsidR="008D172B" w:rsidRPr="001D032A" w:rsidRDefault="0095548E"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1,5</w:t>
            </w:r>
          </w:p>
        </w:tc>
        <w:tc>
          <w:tcPr>
            <w:tcW w:w="853" w:type="dxa"/>
            <w:noWrap/>
            <w:vAlign w:val="center"/>
          </w:tcPr>
          <w:p w:rsidR="008D172B" w:rsidRPr="001D032A" w:rsidRDefault="0010433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85,3</w:t>
            </w:r>
          </w:p>
        </w:tc>
        <w:tc>
          <w:tcPr>
            <w:tcW w:w="853" w:type="dxa"/>
            <w:noWrap/>
            <w:vAlign w:val="center"/>
          </w:tcPr>
          <w:p w:rsidR="008D172B" w:rsidRPr="001D032A" w:rsidRDefault="0072561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35,2</w:t>
            </w:r>
          </w:p>
        </w:tc>
        <w:tc>
          <w:tcPr>
            <w:tcW w:w="853" w:type="dxa"/>
            <w:noWrap/>
            <w:vAlign w:val="center"/>
          </w:tcPr>
          <w:p w:rsidR="008D172B" w:rsidRPr="001D032A" w:rsidRDefault="0072561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9,6</w:t>
            </w:r>
          </w:p>
        </w:tc>
        <w:tc>
          <w:tcPr>
            <w:tcW w:w="853" w:type="dxa"/>
            <w:noWrap/>
            <w:vAlign w:val="center"/>
          </w:tcPr>
          <w:p w:rsidR="008D172B" w:rsidRPr="001D032A" w:rsidRDefault="00822DC0"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8,0</w:t>
            </w:r>
          </w:p>
        </w:tc>
        <w:tc>
          <w:tcPr>
            <w:tcW w:w="853" w:type="dxa"/>
            <w:noWrap/>
            <w:vAlign w:val="center"/>
          </w:tcPr>
          <w:p w:rsidR="008D172B" w:rsidRPr="001D032A" w:rsidRDefault="00ED2C8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14,9</w:t>
            </w:r>
          </w:p>
        </w:tc>
        <w:tc>
          <w:tcPr>
            <w:tcW w:w="853" w:type="dxa"/>
            <w:noWrap/>
            <w:vAlign w:val="center"/>
            <w:hideMark/>
          </w:tcPr>
          <w:p w:rsidR="008D172B" w:rsidRPr="001D032A" w:rsidRDefault="00625033"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31,9</w:t>
            </w:r>
          </w:p>
        </w:tc>
      </w:tr>
      <w:tr w:rsidR="008D172B" w:rsidRPr="001D032A" w:rsidTr="002D4D03">
        <w:trPr>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000000"/>
                <w:sz w:val="20"/>
                <w:szCs w:val="20"/>
                <w:lang w:val="cs-CZ"/>
              </w:rPr>
            </w:pPr>
            <w:r w:rsidRPr="001D032A">
              <w:rPr>
                <w:rFonts w:eastAsia="Times New Roman" w:cs="Times New Roman"/>
                <w:b w:val="0"/>
                <w:bCs w:val="0"/>
                <w:color w:val="000000"/>
                <w:sz w:val="20"/>
                <w:szCs w:val="20"/>
                <w:lang w:val="cs-CZ"/>
              </w:rPr>
              <w:t>Peněžní prostředky přepočtené na 1 pojištěnce (Kč)</w:t>
            </w:r>
          </w:p>
        </w:tc>
        <w:tc>
          <w:tcPr>
            <w:tcW w:w="853" w:type="dxa"/>
            <w:noWrap/>
            <w:vAlign w:val="center"/>
            <w:hideMark/>
          </w:tcPr>
          <w:p w:rsidR="008D172B" w:rsidRPr="001D032A" w:rsidRDefault="0095548E"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2 642</w:t>
            </w:r>
          </w:p>
        </w:tc>
        <w:tc>
          <w:tcPr>
            <w:tcW w:w="853" w:type="dxa"/>
            <w:noWrap/>
            <w:vAlign w:val="center"/>
          </w:tcPr>
          <w:p w:rsidR="008D172B" w:rsidRPr="001D032A" w:rsidRDefault="00104339"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1 370</w:t>
            </w:r>
          </w:p>
        </w:tc>
        <w:tc>
          <w:tcPr>
            <w:tcW w:w="853" w:type="dxa"/>
            <w:noWrap/>
            <w:vAlign w:val="center"/>
          </w:tcPr>
          <w:p w:rsidR="008D172B" w:rsidRPr="001D032A" w:rsidRDefault="00C81585"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2 </w:t>
            </w:r>
            <w:r w:rsidR="00725616" w:rsidRPr="001D032A">
              <w:rPr>
                <w:rFonts w:eastAsia="Times New Roman" w:cs="Times New Roman"/>
                <w:color w:val="000000"/>
                <w:sz w:val="20"/>
                <w:szCs w:val="20"/>
                <w:lang w:val="cs-CZ"/>
              </w:rPr>
              <w:t>574</w:t>
            </w:r>
          </w:p>
        </w:tc>
        <w:tc>
          <w:tcPr>
            <w:tcW w:w="853" w:type="dxa"/>
            <w:noWrap/>
            <w:vAlign w:val="center"/>
          </w:tcPr>
          <w:p w:rsidR="008D172B" w:rsidRPr="001D032A" w:rsidRDefault="00822DC0"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3 937</w:t>
            </w:r>
          </w:p>
        </w:tc>
        <w:tc>
          <w:tcPr>
            <w:tcW w:w="853" w:type="dxa"/>
            <w:noWrap/>
            <w:vAlign w:val="center"/>
          </w:tcPr>
          <w:p w:rsidR="008D172B" w:rsidRPr="001D032A" w:rsidRDefault="00822DC0"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4 580</w:t>
            </w:r>
          </w:p>
        </w:tc>
        <w:tc>
          <w:tcPr>
            <w:tcW w:w="853" w:type="dxa"/>
            <w:noWrap/>
            <w:vAlign w:val="center"/>
          </w:tcPr>
          <w:p w:rsidR="008D172B" w:rsidRPr="001D032A" w:rsidRDefault="00912C1D"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2 </w:t>
            </w:r>
            <w:r w:rsidR="00ED2C86" w:rsidRPr="001D032A">
              <w:rPr>
                <w:rFonts w:eastAsia="Times New Roman" w:cs="Times New Roman"/>
                <w:color w:val="000000"/>
                <w:sz w:val="20"/>
                <w:szCs w:val="20"/>
                <w:lang w:val="cs-CZ"/>
              </w:rPr>
              <w:t>879</w:t>
            </w:r>
          </w:p>
        </w:tc>
        <w:tc>
          <w:tcPr>
            <w:tcW w:w="853" w:type="dxa"/>
            <w:noWrap/>
            <w:vAlign w:val="center"/>
            <w:hideMark/>
          </w:tcPr>
          <w:p w:rsidR="008D172B" w:rsidRPr="001D032A" w:rsidRDefault="00912C1D" w:rsidP="004201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 xml:space="preserve">3 </w:t>
            </w:r>
            <w:r w:rsidR="00625033" w:rsidRPr="001D032A">
              <w:rPr>
                <w:rFonts w:eastAsia="Times New Roman" w:cs="Times New Roman"/>
                <w:color w:val="000000"/>
                <w:sz w:val="20"/>
                <w:szCs w:val="20"/>
                <w:lang w:val="cs-CZ"/>
              </w:rPr>
              <w:t>335</w:t>
            </w:r>
          </w:p>
        </w:tc>
      </w:tr>
      <w:tr w:rsidR="008D172B" w:rsidRPr="001D032A" w:rsidTr="002D4D0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091" w:type="dxa"/>
            <w:noWrap/>
            <w:vAlign w:val="center"/>
            <w:hideMark/>
          </w:tcPr>
          <w:p w:rsidR="008D172B" w:rsidRPr="001D032A" w:rsidRDefault="008D172B" w:rsidP="00983359">
            <w:pPr>
              <w:rPr>
                <w:rFonts w:eastAsia="Times New Roman" w:cs="Times New Roman"/>
                <w:b w:val="0"/>
                <w:bCs w:val="0"/>
                <w:color w:val="auto"/>
                <w:sz w:val="20"/>
                <w:szCs w:val="20"/>
                <w:lang w:val="cs-CZ"/>
              </w:rPr>
            </w:pPr>
            <w:r w:rsidRPr="001D032A">
              <w:rPr>
                <w:b w:val="0"/>
                <w:color w:val="auto"/>
                <w:sz w:val="20"/>
                <w:szCs w:val="20"/>
                <w:lang w:val="cs-CZ"/>
              </w:rPr>
              <w:t>Finanční zásoba (ve dnech výdajů na péči)</w:t>
            </w:r>
          </w:p>
        </w:tc>
        <w:tc>
          <w:tcPr>
            <w:tcW w:w="853" w:type="dxa"/>
            <w:noWrap/>
            <w:vAlign w:val="center"/>
            <w:hideMark/>
          </w:tcPr>
          <w:p w:rsidR="008D172B" w:rsidRPr="001D032A" w:rsidRDefault="0095548E"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12</w:t>
            </w:r>
          </w:p>
        </w:tc>
        <w:tc>
          <w:tcPr>
            <w:tcW w:w="853" w:type="dxa"/>
            <w:noWrap/>
            <w:vAlign w:val="center"/>
            <w:hideMark/>
          </w:tcPr>
          <w:p w:rsidR="008D172B" w:rsidRPr="001D032A" w:rsidRDefault="0010433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9</w:t>
            </w:r>
          </w:p>
        </w:tc>
        <w:tc>
          <w:tcPr>
            <w:tcW w:w="853" w:type="dxa"/>
            <w:noWrap/>
            <w:vAlign w:val="center"/>
            <w:hideMark/>
          </w:tcPr>
          <w:p w:rsidR="008D172B" w:rsidRPr="001D032A" w:rsidRDefault="005D747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2</w:t>
            </w:r>
            <w:r w:rsidR="00725616" w:rsidRPr="001D032A">
              <w:rPr>
                <w:rFonts w:eastAsia="Times New Roman" w:cs="Times New Roman"/>
                <w:color w:val="000000"/>
                <w:sz w:val="20"/>
                <w:szCs w:val="20"/>
                <w:lang w:val="cs-CZ"/>
              </w:rPr>
              <w:t>0</w:t>
            </w:r>
          </w:p>
        </w:tc>
        <w:tc>
          <w:tcPr>
            <w:tcW w:w="853" w:type="dxa"/>
            <w:noWrap/>
            <w:vAlign w:val="center"/>
            <w:hideMark/>
          </w:tcPr>
          <w:p w:rsidR="008D172B" w:rsidRPr="001D032A" w:rsidRDefault="00822DC0"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30</w:t>
            </w:r>
          </w:p>
        </w:tc>
        <w:tc>
          <w:tcPr>
            <w:tcW w:w="853" w:type="dxa"/>
            <w:noWrap/>
            <w:vAlign w:val="center"/>
            <w:hideMark/>
          </w:tcPr>
          <w:p w:rsidR="008D172B" w:rsidRPr="001D032A" w:rsidRDefault="00822DC0"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37</w:t>
            </w:r>
          </w:p>
        </w:tc>
        <w:tc>
          <w:tcPr>
            <w:tcW w:w="853" w:type="dxa"/>
            <w:noWrap/>
            <w:vAlign w:val="center"/>
            <w:hideMark/>
          </w:tcPr>
          <w:p w:rsidR="008D172B" w:rsidRPr="001D032A" w:rsidRDefault="00ED2C86"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15</w:t>
            </w:r>
          </w:p>
        </w:tc>
        <w:tc>
          <w:tcPr>
            <w:tcW w:w="853" w:type="dxa"/>
            <w:noWrap/>
            <w:vAlign w:val="center"/>
            <w:hideMark/>
          </w:tcPr>
          <w:p w:rsidR="008D172B" w:rsidRPr="001D032A" w:rsidRDefault="005D7479" w:rsidP="004201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cs-CZ"/>
              </w:rPr>
            </w:pPr>
            <w:r w:rsidRPr="001D032A">
              <w:rPr>
                <w:rFonts w:eastAsia="Times New Roman" w:cs="Times New Roman"/>
                <w:color w:val="000000"/>
                <w:sz w:val="20"/>
                <w:szCs w:val="20"/>
                <w:lang w:val="cs-CZ"/>
              </w:rPr>
              <w:t>3</w:t>
            </w:r>
            <w:r w:rsidR="00625033" w:rsidRPr="001D032A">
              <w:rPr>
                <w:rFonts w:eastAsia="Times New Roman" w:cs="Times New Roman"/>
                <w:color w:val="000000"/>
                <w:sz w:val="20"/>
                <w:szCs w:val="20"/>
                <w:lang w:val="cs-CZ"/>
              </w:rPr>
              <w:t>3</w:t>
            </w:r>
          </w:p>
        </w:tc>
      </w:tr>
    </w:tbl>
    <w:p w:rsidR="008D172B" w:rsidRPr="001D032A" w:rsidRDefault="008D172B" w:rsidP="008D172B">
      <w:pPr>
        <w:pStyle w:val="TEXT"/>
        <w:rPr>
          <w:sz w:val="2"/>
          <w:szCs w:val="2"/>
          <w:lang w:val="cs-CZ"/>
        </w:rPr>
      </w:pPr>
    </w:p>
    <w:p w:rsidR="008D172B" w:rsidRPr="001D032A" w:rsidRDefault="008D172B" w:rsidP="002C0E1B">
      <w:pPr>
        <w:pStyle w:val="Nadpis3"/>
        <w:jc w:val="center"/>
      </w:pPr>
      <w:bookmarkStart w:id="44" w:name="_Toc491000235"/>
      <w:bookmarkStart w:id="45" w:name="_Toc525944155"/>
      <w:r w:rsidRPr="001D032A">
        <w:t>Zdroj: vlastní zpracování, Ministerstvo zdravotnictví ČR a Ministerstvo financí ČR</w:t>
      </w:r>
      <w:bookmarkEnd w:id="44"/>
      <w:bookmarkEnd w:id="45"/>
    </w:p>
    <w:p w:rsidR="002C0E1B" w:rsidRPr="001D032A" w:rsidRDefault="002C0E1B" w:rsidP="002C0E1B"/>
    <w:p w:rsidR="008D172B" w:rsidRPr="001D032A" w:rsidRDefault="008D172B" w:rsidP="003769A8">
      <w:pPr>
        <w:jc w:val="both"/>
        <w:rPr>
          <w:sz w:val="24"/>
          <w:szCs w:val="24"/>
        </w:rPr>
      </w:pPr>
      <w:bookmarkStart w:id="46" w:name="_Hlk490999161"/>
      <w:r w:rsidRPr="001D032A">
        <w:rPr>
          <w:sz w:val="24"/>
          <w:szCs w:val="24"/>
        </w:rPr>
        <w:lastRenderedPageBreak/>
        <w:t>Zřejmě nejzajímavější částí souhrnného hodnocení systému veřejného z</w:t>
      </w:r>
      <w:r w:rsidR="008F503D" w:rsidRPr="001D032A">
        <w:rPr>
          <w:sz w:val="24"/>
          <w:szCs w:val="24"/>
        </w:rPr>
        <w:t>dravotního pojištění v roce 201</w:t>
      </w:r>
      <w:r w:rsidR="00F02383" w:rsidRPr="001D032A">
        <w:rPr>
          <w:sz w:val="24"/>
          <w:szCs w:val="24"/>
        </w:rPr>
        <w:t>8</w:t>
      </w:r>
      <w:r w:rsidRPr="001D032A">
        <w:rPr>
          <w:sz w:val="24"/>
          <w:szCs w:val="24"/>
        </w:rPr>
        <w:t xml:space="preserve"> je vzájemná komparace zdravotních pojišťoven. Přehled vybraných indikátorů uvádí tabulka 3 výše.</w:t>
      </w:r>
    </w:p>
    <w:p w:rsidR="008D172B" w:rsidRPr="001D032A" w:rsidRDefault="008D172B" w:rsidP="003769A8">
      <w:pPr>
        <w:jc w:val="both"/>
        <w:rPr>
          <w:sz w:val="24"/>
          <w:szCs w:val="24"/>
        </w:rPr>
      </w:pPr>
      <w:r w:rsidRPr="001D032A">
        <w:rPr>
          <w:sz w:val="24"/>
          <w:szCs w:val="24"/>
        </w:rPr>
        <w:t xml:space="preserve">Z tabulky 3 je patrné, že nejvíce pojištěnců má VZP ČR a udržuje si tak dominantní postavení na trhu. Mezi větší zdravotní pojišťovny patří ZP MV ČR a ČPZP. Středně velkými zdravotními pojišťovnami jsou OZP a VoZP ČR a mezi nejmenší zdravotní pojišťovny patří RBP a ZPŠ. </w:t>
      </w:r>
    </w:p>
    <w:p w:rsidR="008D172B" w:rsidRPr="001D032A" w:rsidRDefault="008D172B" w:rsidP="003769A8">
      <w:pPr>
        <w:jc w:val="both"/>
        <w:rPr>
          <w:sz w:val="24"/>
          <w:szCs w:val="24"/>
        </w:rPr>
      </w:pPr>
      <w:r w:rsidRPr="001D032A">
        <w:rPr>
          <w:sz w:val="24"/>
          <w:szCs w:val="24"/>
        </w:rPr>
        <w:t>Zajímavým ukazatelem je počet pojištěnců na jednoho zaměstnance pojišťovny. Přibližně totiž platí, že čím méně pojištěnců připadá na jednoho zaměstnance, tím více času může tento zaměstnanec věnovat pojištěncům. To při určité generalizaci napovídá, jaký komfort zdravotní pojišťovna poskytuje svým pojištěncům při vyřizování administrativních a dalších náležitostí. V tomto ukazateli nejlépe dopadla VZP ČR, která poskytuje širokou síť poboček v rámci celé České republiky. Dobře se v tomto ukazateli umístil</w:t>
      </w:r>
      <w:r w:rsidR="00BE03DC">
        <w:rPr>
          <w:sz w:val="24"/>
          <w:szCs w:val="24"/>
        </w:rPr>
        <w:t>y</w:t>
      </w:r>
      <w:r w:rsidRPr="001D032A">
        <w:rPr>
          <w:sz w:val="24"/>
          <w:szCs w:val="24"/>
        </w:rPr>
        <w:t xml:space="preserve"> i VoZP ČR</w:t>
      </w:r>
      <w:r w:rsidR="007C1EA0" w:rsidRPr="001D032A">
        <w:rPr>
          <w:sz w:val="24"/>
          <w:szCs w:val="24"/>
        </w:rPr>
        <w:t xml:space="preserve"> a ZPŠ</w:t>
      </w:r>
      <w:r w:rsidRPr="001D032A">
        <w:rPr>
          <w:sz w:val="24"/>
          <w:szCs w:val="24"/>
        </w:rPr>
        <w:t>. Na chvostu pak skončil</w:t>
      </w:r>
      <w:r w:rsidR="00BE03DC">
        <w:rPr>
          <w:sz w:val="24"/>
          <w:szCs w:val="24"/>
        </w:rPr>
        <w:t>y</w:t>
      </w:r>
      <w:r w:rsidRPr="001D032A">
        <w:rPr>
          <w:sz w:val="24"/>
          <w:szCs w:val="24"/>
        </w:rPr>
        <w:t xml:space="preserve"> ZP MV ČR</w:t>
      </w:r>
      <w:r w:rsidR="007C1EA0" w:rsidRPr="001D032A">
        <w:rPr>
          <w:sz w:val="24"/>
          <w:szCs w:val="24"/>
        </w:rPr>
        <w:t xml:space="preserve"> a ČPZP</w:t>
      </w:r>
      <w:r w:rsidRPr="001D032A">
        <w:rPr>
          <w:sz w:val="24"/>
          <w:szCs w:val="24"/>
        </w:rPr>
        <w:t>.</w:t>
      </w:r>
    </w:p>
    <w:p w:rsidR="008D172B" w:rsidRPr="001D032A" w:rsidRDefault="008D172B" w:rsidP="003769A8">
      <w:pPr>
        <w:jc w:val="both"/>
        <w:rPr>
          <w:sz w:val="24"/>
          <w:szCs w:val="24"/>
        </w:rPr>
      </w:pPr>
      <w:r w:rsidRPr="001D032A">
        <w:rPr>
          <w:sz w:val="24"/>
          <w:szCs w:val="24"/>
        </w:rPr>
        <w:t>Z hlediska dlouhodobého hospodaření zdravotních pojišťoven je podstatný ukazatel kumulovaného rozdílu příjmů a výdajů za 5 po sobě jdoucích let. Tento ukazatel nám říká, zda zdravotní pojišťovny dokážou dlouhodobě hospodařit s vyrovnanými rozpočty, což hraje důležitou roli v otázce finanční stability zdravotních pojišťoven. V tomto ukazateli dopadla nejlépe VZP ČR a to díky zlepšenému hospodaření v posledních letech.</w:t>
      </w:r>
      <w:r w:rsidR="00AD03EB" w:rsidRPr="001D032A">
        <w:rPr>
          <w:sz w:val="24"/>
          <w:szCs w:val="24"/>
        </w:rPr>
        <w:t xml:space="preserve"> </w:t>
      </w:r>
      <w:r w:rsidRPr="001D032A">
        <w:rPr>
          <w:sz w:val="24"/>
          <w:szCs w:val="24"/>
        </w:rPr>
        <w:t xml:space="preserve">Na druhém místě se umístila OZP a třetí skončila </w:t>
      </w:r>
      <w:r w:rsidR="001A4621" w:rsidRPr="001D032A">
        <w:rPr>
          <w:sz w:val="24"/>
          <w:szCs w:val="24"/>
        </w:rPr>
        <w:t>ZPŠ</w:t>
      </w:r>
      <w:r w:rsidRPr="001D032A">
        <w:rPr>
          <w:sz w:val="24"/>
          <w:szCs w:val="24"/>
        </w:rPr>
        <w:t>. Naopa</w:t>
      </w:r>
      <w:r w:rsidR="001A4621" w:rsidRPr="001D032A">
        <w:rPr>
          <w:sz w:val="24"/>
          <w:szCs w:val="24"/>
        </w:rPr>
        <w:t xml:space="preserve">k nejhůře dopadly </w:t>
      </w:r>
      <w:r w:rsidR="00AD03EB" w:rsidRPr="001D032A">
        <w:rPr>
          <w:sz w:val="24"/>
          <w:szCs w:val="24"/>
        </w:rPr>
        <w:t xml:space="preserve">ČP ZP a </w:t>
      </w:r>
      <w:r w:rsidR="001A4621" w:rsidRPr="001D032A">
        <w:rPr>
          <w:sz w:val="24"/>
          <w:szCs w:val="24"/>
        </w:rPr>
        <w:t>ZP MV ČR</w:t>
      </w:r>
      <w:r w:rsidRPr="001D032A">
        <w:rPr>
          <w:sz w:val="24"/>
          <w:szCs w:val="24"/>
        </w:rPr>
        <w:t>.</w:t>
      </w:r>
    </w:p>
    <w:p w:rsidR="008D172B" w:rsidRPr="001D032A" w:rsidRDefault="008D172B" w:rsidP="003769A8">
      <w:pPr>
        <w:jc w:val="both"/>
        <w:rPr>
          <w:sz w:val="24"/>
          <w:szCs w:val="24"/>
        </w:rPr>
      </w:pPr>
      <w:r w:rsidRPr="001D032A">
        <w:rPr>
          <w:sz w:val="24"/>
          <w:szCs w:val="24"/>
        </w:rPr>
        <w:t xml:space="preserve">Zajímavé je sledovat, jak se ukazatel kumulovaného rozdílu příjmů a výdajů změní, když ho přepočteme na jednoho pojištěnce. V tu chvíli přestane hrát roli dominance jednotlivých pojišťoven na trhu a výsledky mají o něco vyšší vypovídající hodnotu. V takto inovovaném ukazateli </w:t>
      </w:r>
      <w:r w:rsidR="00AD03EB" w:rsidRPr="001D032A">
        <w:rPr>
          <w:sz w:val="24"/>
          <w:szCs w:val="24"/>
        </w:rPr>
        <w:t>se však pořadí zdravotních pojišťoven příliš nezmění. N</w:t>
      </w:r>
      <w:r w:rsidRPr="001D032A">
        <w:rPr>
          <w:sz w:val="24"/>
          <w:szCs w:val="24"/>
        </w:rPr>
        <w:t xml:space="preserve">ejlépe </w:t>
      </w:r>
      <w:r w:rsidR="00AD03EB" w:rsidRPr="001D032A">
        <w:rPr>
          <w:sz w:val="24"/>
          <w:szCs w:val="24"/>
        </w:rPr>
        <w:t>dopadla VZP ČR následovaná OZP, t</w:t>
      </w:r>
      <w:r w:rsidRPr="001D032A">
        <w:rPr>
          <w:sz w:val="24"/>
          <w:szCs w:val="24"/>
        </w:rPr>
        <w:t xml:space="preserve">řetí místo </w:t>
      </w:r>
      <w:r w:rsidR="001A4621" w:rsidRPr="001D032A">
        <w:rPr>
          <w:sz w:val="24"/>
          <w:szCs w:val="24"/>
        </w:rPr>
        <w:t>obsadila</w:t>
      </w:r>
      <w:r w:rsidRPr="001D032A">
        <w:rPr>
          <w:sz w:val="24"/>
          <w:szCs w:val="24"/>
        </w:rPr>
        <w:t xml:space="preserve"> </w:t>
      </w:r>
      <w:r w:rsidR="00AD03EB" w:rsidRPr="001D032A">
        <w:rPr>
          <w:sz w:val="24"/>
          <w:szCs w:val="24"/>
        </w:rPr>
        <w:t>ZPŠ</w:t>
      </w:r>
      <w:r w:rsidRPr="001D032A">
        <w:rPr>
          <w:sz w:val="24"/>
          <w:szCs w:val="24"/>
        </w:rPr>
        <w:t xml:space="preserve">. </w:t>
      </w:r>
    </w:p>
    <w:p w:rsidR="008D172B" w:rsidRPr="001D032A" w:rsidRDefault="008D172B" w:rsidP="003769A8">
      <w:pPr>
        <w:jc w:val="both"/>
        <w:rPr>
          <w:sz w:val="24"/>
          <w:szCs w:val="24"/>
        </w:rPr>
      </w:pPr>
      <w:r w:rsidRPr="001D032A">
        <w:rPr>
          <w:sz w:val="24"/>
          <w:szCs w:val="24"/>
        </w:rPr>
        <w:t xml:space="preserve">Dalším ukazatelem, který je dobré sledovat, je relativní nárůst výdajů. Tento ukazatel nám totiž říká, jak se mění velikost dodatečně vynaložených prostředků, které vynakládají zdravotní pojišťovny v posledním sledovaném roce. Velikost těchto prostředků má totiž dopad na proplácení zdravotní péče. V tomto ukazateli </w:t>
      </w:r>
      <w:r w:rsidR="00FD6567" w:rsidRPr="001D032A">
        <w:rPr>
          <w:sz w:val="24"/>
          <w:szCs w:val="24"/>
        </w:rPr>
        <w:t xml:space="preserve">relativní výdaje nejvíce narostly ČPZP a VZP ČR. </w:t>
      </w:r>
      <w:r w:rsidRPr="001D032A">
        <w:rPr>
          <w:sz w:val="24"/>
          <w:szCs w:val="24"/>
        </w:rPr>
        <w:t xml:space="preserve">Naopak nejnižší nárůst </w:t>
      </w:r>
      <w:r w:rsidR="00FD6567" w:rsidRPr="001D032A">
        <w:rPr>
          <w:sz w:val="24"/>
          <w:szCs w:val="24"/>
        </w:rPr>
        <w:t xml:space="preserve">relativních </w:t>
      </w:r>
      <w:r w:rsidR="00FE6739" w:rsidRPr="001D032A">
        <w:rPr>
          <w:sz w:val="24"/>
          <w:szCs w:val="24"/>
        </w:rPr>
        <w:t xml:space="preserve">výdajů mají </w:t>
      </w:r>
      <w:r w:rsidR="00FD6567" w:rsidRPr="001D032A">
        <w:rPr>
          <w:sz w:val="24"/>
          <w:szCs w:val="24"/>
        </w:rPr>
        <w:t>RBP a VoZP ČR</w:t>
      </w:r>
      <w:r w:rsidRPr="001D032A">
        <w:rPr>
          <w:sz w:val="24"/>
          <w:szCs w:val="24"/>
        </w:rPr>
        <w:t>.</w:t>
      </w:r>
    </w:p>
    <w:p w:rsidR="008D172B" w:rsidRPr="001D032A" w:rsidRDefault="008D172B" w:rsidP="003769A8">
      <w:pPr>
        <w:jc w:val="both"/>
        <w:rPr>
          <w:sz w:val="24"/>
          <w:szCs w:val="24"/>
        </w:rPr>
      </w:pPr>
      <w:r w:rsidRPr="001D032A">
        <w:rPr>
          <w:sz w:val="24"/>
          <w:szCs w:val="24"/>
        </w:rPr>
        <w:t>Z pohledu klientů zdravotních pojišťoven je určitě důležitý indikátor výdajů na preventivní péči. V průběhu let je tento indikátor velmi volatilní, což můžeme vidět i na průřezových datech zdravotních pojišťoven pro rok 201</w:t>
      </w:r>
      <w:r w:rsidR="00FD6567" w:rsidRPr="001D032A">
        <w:rPr>
          <w:sz w:val="24"/>
          <w:szCs w:val="24"/>
        </w:rPr>
        <w:t>8</w:t>
      </w:r>
      <w:r w:rsidRPr="001D032A">
        <w:rPr>
          <w:sz w:val="24"/>
          <w:szCs w:val="24"/>
        </w:rPr>
        <w:t xml:space="preserve">. V přepočtu na 1 pojištěnce na preventivní péči vynakládá nejvíce </w:t>
      </w:r>
      <w:r w:rsidR="00FD6567" w:rsidRPr="001D032A">
        <w:rPr>
          <w:sz w:val="24"/>
          <w:szCs w:val="24"/>
        </w:rPr>
        <w:t xml:space="preserve">VoZP ČR </w:t>
      </w:r>
      <w:r w:rsidR="001A4621" w:rsidRPr="001D032A">
        <w:rPr>
          <w:sz w:val="24"/>
          <w:szCs w:val="24"/>
        </w:rPr>
        <w:t xml:space="preserve">a to </w:t>
      </w:r>
      <w:r w:rsidR="00FD6567" w:rsidRPr="001D032A">
        <w:rPr>
          <w:sz w:val="24"/>
          <w:szCs w:val="24"/>
        </w:rPr>
        <w:t>200</w:t>
      </w:r>
      <w:r w:rsidRPr="001D032A">
        <w:rPr>
          <w:sz w:val="24"/>
          <w:szCs w:val="24"/>
        </w:rPr>
        <w:t xml:space="preserve"> Kč, naopak nejméně vynakládá VZP ČR</w:t>
      </w:r>
      <w:r w:rsidR="001A4621" w:rsidRPr="001D032A">
        <w:rPr>
          <w:sz w:val="24"/>
          <w:szCs w:val="24"/>
        </w:rPr>
        <w:t xml:space="preserve"> a to pouze 8</w:t>
      </w:r>
      <w:r w:rsidR="00FD6567" w:rsidRPr="001D032A">
        <w:rPr>
          <w:sz w:val="24"/>
          <w:szCs w:val="24"/>
        </w:rPr>
        <w:t>8</w:t>
      </w:r>
      <w:r w:rsidRPr="001D032A">
        <w:rPr>
          <w:sz w:val="24"/>
          <w:szCs w:val="24"/>
        </w:rPr>
        <w:t xml:space="preserve"> Kč. U tohoto ukazatele je též potřeba sledovat, jak se vyvíjí v čase, aby pojištěnci mohli vybírat zdravotní pojišťovnu podle vývoje nákladů na prevenci, což tvoří rozdíl v poskytovaných službách zdravotních pojišťoven. </w:t>
      </w:r>
      <w:r w:rsidR="00FD6567" w:rsidRPr="001D032A">
        <w:rPr>
          <w:sz w:val="24"/>
          <w:szCs w:val="24"/>
        </w:rPr>
        <w:t xml:space="preserve">VoZP ČR </w:t>
      </w:r>
      <w:r w:rsidR="001A4621" w:rsidRPr="001D032A">
        <w:rPr>
          <w:sz w:val="24"/>
          <w:szCs w:val="24"/>
        </w:rPr>
        <w:t>pro rok 201</w:t>
      </w:r>
      <w:r w:rsidR="00FD6567" w:rsidRPr="001D032A">
        <w:rPr>
          <w:sz w:val="24"/>
          <w:szCs w:val="24"/>
        </w:rPr>
        <w:t>8</w:t>
      </w:r>
      <w:r w:rsidRPr="001D032A">
        <w:rPr>
          <w:sz w:val="24"/>
          <w:szCs w:val="24"/>
        </w:rPr>
        <w:t xml:space="preserve"> významně mění velikost výdajů na preventivní</w:t>
      </w:r>
      <w:r w:rsidR="001A4621" w:rsidRPr="001D032A">
        <w:rPr>
          <w:sz w:val="24"/>
          <w:szCs w:val="24"/>
        </w:rPr>
        <w:t xml:space="preserve"> péči a v porovnání s rokem 201</w:t>
      </w:r>
      <w:r w:rsidR="00FD6567" w:rsidRPr="001D032A">
        <w:rPr>
          <w:sz w:val="24"/>
          <w:szCs w:val="24"/>
        </w:rPr>
        <w:t>7</w:t>
      </w:r>
      <w:r w:rsidRPr="001D032A">
        <w:rPr>
          <w:sz w:val="24"/>
          <w:szCs w:val="24"/>
        </w:rPr>
        <w:t xml:space="preserve"> zde dochází k nejvy</w:t>
      </w:r>
      <w:r w:rsidR="001A4621" w:rsidRPr="001D032A">
        <w:rPr>
          <w:sz w:val="24"/>
          <w:szCs w:val="24"/>
        </w:rPr>
        <w:t xml:space="preserve">ššímu </w:t>
      </w:r>
      <w:r w:rsidR="003E1B90" w:rsidRPr="001D032A">
        <w:rPr>
          <w:sz w:val="24"/>
          <w:szCs w:val="24"/>
        </w:rPr>
        <w:t>nárůstu,</w:t>
      </w:r>
      <w:r w:rsidR="001A4621" w:rsidRPr="001D032A">
        <w:rPr>
          <w:sz w:val="24"/>
          <w:szCs w:val="24"/>
        </w:rPr>
        <w:t xml:space="preserve"> a to o více než 8</w:t>
      </w:r>
      <w:r w:rsidR="00FD6567" w:rsidRPr="001D032A">
        <w:rPr>
          <w:sz w:val="24"/>
          <w:szCs w:val="24"/>
        </w:rPr>
        <w:t>5</w:t>
      </w:r>
      <w:r w:rsidRPr="001D032A">
        <w:rPr>
          <w:sz w:val="24"/>
          <w:szCs w:val="24"/>
        </w:rPr>
        <w:t xml:space="preserve"> %. Zajímavé nárůsty vykázaly </w:t>
      </w:r>
      <w:r w:rsidR="00FD6567" w:rsidRPr="001D032A">
        <w:rPr>
          <w:sz w:val="24"/>
          <w:szCs w:val="24"/>
        </w:rPr>
        <w:t>ČPZP a RBP</w:t>
      </w:r>
      <w:r w:rsidRPr="001D032A">
        <w:rPr>
          <w:sz w:val="24"/>
          <w:szCs w:val="24"/>
        </w:rPr>
        <w:t xml:space="preserve">. Naopak </w:t>
      </w:r>
      <w:r w:rsidR="00FD6567" w:rsidRPr="001D032A">
        <w:rPr>
          <w:sz w:val="24"/>
          <w:szCs w:val="24"/>
        </w:rPr>
        <w:t>malé nárůsty výdajů na preventivní péči vykazuje VZP ČR</w:t>
      </w:r>
      <w:r w:rsidR="00FE6739" w:rsidRPr="001D032A">
        <w:rPr>
          <w:sz w:val="24"/>
          <w:szCs w:val="24"/>
        </w:rPr>
        <w:t>.</w:t>
      </w:r>
    </w:p>
    <w:p w:rsidR="008D172B" w:rsidRPr="001D032A" w:rsidRDefault="008D172B" w:rsidP="003769A8">
      <w:pPr>
        <w:jc w:val="both"/>
        <w:rPr>
          <w:sz w:val="24"/>
          <w:szCs w:val="24"/>
        </w:rPr>
      </w:pPr>
      <w:r w:rsidRPr="001D032A">
        <w:rPr>
          <w:sz w:val="24"/>
          <w:szCs w:val="24"/>
        </w:rPr>
        <w:lastRenderedPageBreak/>
        <w:t xml:space="preserve">Z hlediska okamžité mobilizace finančních prostředků zdravotních pojišťoven je důležitý ukazatel peněžních prostředků přepočtených na 1 pojištěnce. V tomto ukazateli se jako nejlepší ukázala ZPŠ následovaná </w:t>
      </w:r>
      <w:r w:rsidR="00FD6567" w:rsidRPr="001D032A">
        <w:rPr>
          <w:sz w:val="24"/>
          <w:szCs w:val="24"/>
        </w:rPr>
        <w:t>OZP</w:t>
      </w:r>
      <w:r w:rsidRPr="001D032A">
        <w:rPr>
          <w:sz w:val="24"/>
          <w:szCs w:val="24"/>
        </w:rPr>
        <w:t xml:space="preserve">. Naopak nejhorší je </w:t>
      </w:r>
      <w:r w:rsidR="001A4621" w:rsidRPr="001D032A">
        <w:rPr>
          <w:sz w:val="24"/>
          <w:szCs w:val="24"/>
        </w:rPr>
        <w:t>VoZP ČR</w:t>
      </w:r>
      <w:r w:rsidRPr="001D032A">
        <w:rPr>
          <w:sz w:val="24"/>
          <w:szCs w:val="24"/>
        </w:rPr>
        <w:t xml:space="preserve">, která má na jednoho klienta pouze </w:t>
      </w:r>
      <w:r w:rsidR="00FD6567" w:rsidRPr="001D032A">
        <w:rPr>
          <w:sz w:val="24"/>
          <w:szCs w:val="24"/>
        </w:rPr>
        <w:t>1 370</w:t>
      </w:r>
      <w:r w:rsidRPr="001D032A">
        <w:rPr>
          <w:sz w:val="24"/>
          <w:szCs w:val="24"/>
        </w:rPr>
        <w:t xml:space="preserve"> Kč.</w:t>
      </w:r>
    </w:p>
    <w:p w:rsidR="008D172B" w:rsidRPr="001D032A" w:rsidRDefault="008D172B" w:rsidP="003769A8">
      <w:pPr>
        <w:jc w:val="both"/>
        <w:rPr>
          <w:sz w:val="24"/>
          <w:szCs w:val="24"/>
        </w:rPr>
      </w:pPr>
      <w:r w:rsidRPr="001D032A">
        <w:rPr>
          <w:sz w:val="24"/>
          <w:szCs w:val="24"/>
        </w:rPr>
        <w:t xml:space="preserve">Posledním zkoumaným ukazatelem je finanční zásoba zdravotních pojišťoven na bankovních účtech základního fondu zdravotního pojištění vyjádřená ve dnech výdajů na péči. Tento ukazatel nám říká, jak mohou být jednotlivé zdravotní pojišťovny ochotny proplácet vykázanou péči za své pojištěnce různým zdravotním zařízením. Nejlépe dopadla </w:t>
      </w:r>
      <w:r w:rsidR="00FA3E32" w:rsidRPr="001D032A">
        <w:rPr>
          <w:sz w:val="24"/>
          <w:szCs w:val="24"/>
        </w:rPr>
        <w:t>ZPŠ</w:t>
      </w:r>
      <w:r w:rsidRPr="001D032A">
        <w:rPr>
          <w:sz w:val="24"/>
          <w:szCs w:val="24"/>
        </w:rPr>
        <w:t xml:space="preserve">, která má finanční zásobu na </w:t>
      </w:r>
      <w:r w:rsidR="001A4621" w:rsidRPr="001D032A">
        <w:rPr>
          <w:sz w:val="24"/>
          <w:szCs w:val="24"/>
        </w:rPr>
        <w:t>3</w:t>
      </w:r>
      <w:r w:rsidR="00FA3E32" w:rsidRPr="001D032A">
        <w:rPr>
          <w:sz w:val="24"/>
          <w:szCs w:val="24"/>
        </w:rPr>
        <w:t>7</w:t>
      </w:r>
      <w:r w:rsidRPr="001D032A">
        <w:rPr>
          <w:sz w:val="24"/>
          <w:szCs w:val="24"/>
        </w:rPr>
        <w:t xml:space="preserve"> </w:t>
      </w:r>
      <w:r w:rsidR="00A11E37" w:rsidRPr="001D032A">
        <w:rPr>
          <w:sz w:val="24"/>
          <w:szCs w:val="24"/>
        </w:rPr>
        <w:t xml:space="preserve">dní. Naopak velmi špatně dopadly VoZP ČR a </w:t>
      </w:r>
      <w:r w:rsidR="002A375A" w:rsidRPr="001D032A">
        <w:rPr>
          <w:sz w:val="24"/>
          <w:szCs w:val="24"/>
        </w:rPr>
        <w:t>VZP ČR</w:t>
      </w:r>
      <w:r w:rsidR="00A11E37" w:rsidRPr="001D032A">
        <w:rPr>
          <w:sz w:val="24"/>
          <w:szCs w:val="24"/>
        </w:rPr>
        <w:t xml:space="preserve">, které mají finanční zásobu pouze na </w:t>
      </w:r>
      <w:r w:rsidR="002A375A" w:rsidRPr="001D032A">
        <w:rPr>
          <w:sz w:val="24"/>
          <w:szCs w:val="24"/>
        </w:rPr>
        <w:t>9 respektive 12</w:t>
      </w:r>
      <w:r w:rsidRPr="001D032A">
        <w:rPr>
          <w:sz w:val="24"/>
          <w:szCs w:val="24"/>
        </w:rPr>
        <w:t xml:space="preserve"> dn</w:t>
      </w:r>
      <w:r w:rsidR="00A11E37" w:rsidRPr="001D032A">
        <w:rPr>
          <w:sz w:val="24"/>
          <w:szCs w:val="24"/>
        </w:rPr>
        <w:t>í</w:t>
      </w:r>
      <w:r w:rsidRPr="001D032A">
        <w:rPr>
          <w:sz w:val="24"/>
          <w:szCs w:val="24"/>
        </w:rPr>
        <w:t>. Ostatní zdravotní pojiš</w:t>
      </w:r>
      <w:r w:rsidR="00A11E37" w:rsidRPr="001D032A">
        <w:rPr>
          <w:sz w:val="24"/>
          <w:szCs w:val="24"/>
        </w:rPr>
        <w:t xml:space="preserve">ťovny se pohybují v intervalu </w:t>
      </w:r>
      <w:r w:rsidR="002A375A" w:rsidRPr="001D032A">
        <w:rPr>
          <w:sz w:val="24"/>
          <w:szCs w:val="24"/>
        </w:rPr>
        <w:t>15</w:t>
      </w:r>
      <w:r w:rsidR="00A11E37" w:rsidRPr="001D032A">
        <w:rPr>
          <w:sz w:val="24"/>
          <w:szCs w:val="24"/>
        </w:rPr>
        <w:t xml:space="preserve"> až </w:t>
      </w:r>
      <w:r w:rsidR="002A375A" w:rsidRPr="001D032A">
        <w:rPr>
          <w:sz w:val="24"/>
          <w:szCs w:val="24"/>
        </w:rPr>
        <w:t>33</w:t>
      </w:r>
      <w:r w:rsidRPr="001D032A">
        <w:rPr>
          <w:sz w:val="24"/>
          <w:szCs w:val="24"/>
        </w:rPr>
        <w:t xml:space="preserve"> dní.   </w:t>
      </w:r>
    </w:p>
    <w:p w:rsidR="00CE6FBC" w:rsidRPr="001D032A" w:rsidRDefault="00CE6FBC" w:rsidP="008D172B">
      <w:pPr>
        <w:pStyle w:val="Nadpis2"/>
      </w:pPr>
      <w:bookmarkStart w:id="47" w:name="_Toc460456838"/>
      <w:bookmarkEnd w:id="46"/>
    </w:p>
    <w:p w:rsidR="008D172B" w:rsidRPr="001D032A" w:rsidRDefault="008D172B" w:rsidP="008D172B">
      <w:pPr>
        <w:pStyle w:val="Nadpis2"/>
      </w:pPr>
      <w:bookmarkStart w:id="48" w:name="_Toc525944499"/>
      <w:r w:rsidRPr="001D032A">
        <w:t>Shrnutí</w:t>
      </w:r>
      <w:bookmarkEnd w:id="47"/>
      <w:bookmarkEnd w:id="48"/>
    </w:p>
    <w:p w:rsidR="008D172B" w:rsidRPr="001D032A" w:rsidRDefault="008D172B" w:rsidP="003769A8">
      <w:pPr>
        <w:jc w:val="both"/>
        <w:rPr>
          <w:sz w:val="24"/>
          <w:szCs w:val="24"/>
        </w:rPr>
      </w:pPr>
      <w:r w:rsidRPr="001D032A">
        <w:rPr>
          <w:sz w:val="24"/>
          <w:szCs w:val="24"/>
        </w:rPr>
        <w:t>Všechny zdravotní pojišťovny plánují</w:t>
      </w:r>
      <w:r w:rsidR="00267AD8" w:rsidRPr="001D032A">
        <w:rPr>
          <w:sz w:val="24"/>
          <w:szCs w:val="24"/>
        </w:rPr>
        <w:t xml:space="preserve"> v roce 201</w:t>
      </w:r>
      <w:r w:rsidR="00316B34" w:rsidRPr="001D032A">
        <w:rPr>
          <w:sz w:val="24"/>
          <w:szCs w:val="24"/>
        </w:rPr>
        <w:t>8</w:t>
      </w:r>
      <w:r w:rsidRPr="001D032A">
        <w:rPr>
          <w:sz w:val="24"/>
          <w:szCs w:val="24"/>
        </w:rPr>
        <w:t xml:space="preserve"> navýšení nákladů na zdravotní služby. V celkovém úhrnu by meziroční navýšení </w:t>
      </w:r>
      <w:r w:rsidR="00316B34" w:rsidRPr="001D032A">
        <w:rPr>
          <w:sz w:val="24"/>
          <w:szCs w:val="24"/>
        </w:rPr>
        <w:t>nákladů</w:t>
      </w:r>
      <w:r w:rsidRPr="001D032A">
        <w:rPr>
          <w:sz w:val="24"/>
          <w:szCs w:val="24"/>
        </w:rPr>
        <w:t xml:space="preserve"> mělo činit </w:t>
      </w:r>
      <w:r w:rsidR="00316B34" w:rsidRPr="001D032A">
        <w:rPr>
          <w:sz w:val="24"/>
          <w:szCs w:val="24"/>
        </w:rPr>
        <w:t xml:space="preserve">18,4 miliardy </w:t>
      </w:r>
      <w:r w:rsidR="00267AD8" w:rsidRPr="001D032A">
        <w:rPr>
          <w:sz w:val="24"/>
          <w:szCs w:val="24"/>
        </w:rPr>
        <w:t>Kč</w:t>
      </w:r>
      <w:r w:rsidR="00316B34" w:rsidRPr="001D032A">
        <w:rPr>
          <w:sz w:val="24"/>
          <w:szCs w:val="24"/>
        </w:rPr>
        <w:t>, což představuje nárůst o 6</w:t>
      </w:r>
      <w:r w:rsidR="00267AD8" w:rsidRPr="001D032A">
        <w:rPr>
          <w:sz w:val="24"/>
          <w:szCs w:val="24"/>
        </w:rPr>
        <w:t>,9 %.</w:t>
      </w:r>
      <w:r w:rsidRPr="001D032A">
        <w:rPr>
          <w:sz w:val="24"/>
          <w:szCs w:val="24"/>
        </w:rPr>
        <w:t xml:space="preserve"> Uvedené prostředky by ve sféře poskytovatelů zdravotních služeb měly sloužit především k naplňování priority navyšování platů zaměstnanců ve zdravotnictví a k podpoře poskytovatelů zdravotních služeb v lokalitách se zhoršenou možností zajištění místní a časové dostupnosti hrazených zdravotních služeb.</w:t>
      </w:r>
      <w:r w:rsidRPr="001D032A">
        <w:rPr>
          <w:color w:val="1F497D"/>
          <w:sz w:val="24"/>
          <w:szCs w:val="24"/>
        </w:rPr>
        <w:t> </w:t>
      </w:r>
    </w:p>
    <w:p w:rsidR="00267AD8" w:rsidRPr="001D032A" w:rsidRDefault="008D172B" w:rsidP="003769A8">
      <w:pPr>
        <w:jc w:val="both"/>
        <w:rPr>
          <w:sz w:val="24"/>
          <w:szCs w:val="24"/>
        </w:rPr>
      </w:pPr>
      <w:r w:rsidRPr="001D032A">
        <w:rPr>
          <w:sz w:val="24"/>
          <w:szCs w:val="24"/>
        </w:rPr>
        <w:t>Systém veřejného zdravo</w:t>
      </w:r>
      <w:r w:rsidR="00267AD8" w:rsidRPr="001D032A">
        <w:rPr>
          <w:sz w:val="24"/>
          <w:szCs w:val="24"/>
        </w:rPr>
        <w:t>tního pojištění bude v roce 201</w:t>
      </w:r>
      <w:r w:rsidR="00316B34" w:rsidRPr="001D032A">
        <w:rPr>
          <w:sz w:val="24"/>
          <w:szCs w:val="24"/>
        </w:rPr>
        <w:t>8</w:t>
      </w:r>
      <w:r w:rsidRPr="001D032A">
        <w:rPr>
          <w:sz w:val="24"/>
          <w:szCs w:val="24"/>
        </w:rPr>
        <w:t xml:space="preserve"> stabilizovaný především vlivem vysokého tempa růstu české ekonomiky. Systém by měl v tomto roce dosáhnout mírného přebytku hospodaření. </w:t>
      </w:r>
      <w:r w:rsidR="00267AD8" w:rsidRPr="001D032A">
        <w:rPr>
          <w:sz w:val="24"/>
          <w:szCs w:val="24"/>
        </w:rPr>
        <w:t xml:space="preserve">Obrovský tlak na růst úhrad poskytovatelům zdravotních služeb </w:t>
      </w:r>
      <w:r w:rsidR="00267AD8" w:rsidRPr="001D032A">
        <w:rPr>
          <w:bCs/>
          <w:sz w:val="24"/>
          <w:szCs w:val="24"/>
        </w:rPr>
        <w:t>a vysoké tempo jejich růstu v posledních letech</w:t>
      </w:r>
      <w:r w:rsidR="00267AD8" w:rsidRPr="001D032A">
        <w:rPr>
          <w:sz w:val="24"/>
          <w:szCs w:val="24"/>
        </w:rPr>
        <w:t xml:space="preserve"> však neumožňuje zvyšovat zůstatky na účtech (rezervy) zdravotních pojišťoven tak, aby byla vytvořena adekvátní rezerva pro případ jakéhokoli vnějšího negativního šoku, </w:t>
      </w:r>
      <w:r w:rsidR="00316B34" w:rsidRPr="001D032A">
        <w:rPr>
          <w:sz w:val="24"/>
          <w:szCs w:val="24"/>
        </w:rPr>
        <w:t>například</w:t>
      </w:r>
      <w:r w:rsidR="00267AD8" w:rsidRPr="001D032A">
        <w:rPr>
          <w:sz w:val="24"/>
          <w:szCs w:val="24"/>
        </w:rPr>
        <w:t xml:space="preserve"> v podobě recese či víceletého výraznějšího zpomalení hospodářského růstu. Naopak míra rezerv systému se </w:t>
      </w:r>
      <w:r w:rsidR="00316B34" w:rsidRPr="001D032A">
        <w:rPr>
          <w:sz w:val="24"/>
          <w:szCs w:val="24"/>
        </w:rPr>
        <w:t>v letech 2018 až 2020</w:t>
      </w:r>
      <w:r w:rsidR="00267AD8" w:rsidRPr="001D032A">
        <w:rPr>
          <w:sz w:val="24"/>
          <w:szCs w:val="24"/>
        </w:rPr>
        <w:t xml:space="preserve"> plánuje snížit. Odolnost systému vůči vnějším negativním šokům se tak dále sníží.</w:t>
      </w:r>
    </w:p>
    <w:p w:rsidR="00267AD8" w:rsidRPr="001D032A" w:rsidRDefault="00267AD8" w:rsidP="003769A8">
      <w:pPr>
        <w:jc w:val="both"/>
        <w:rPr>
          <w:sz w:val="24"/>
          <w:szCs w:val="24"/>
        </w:rPr>
      </w:pPr>
      <w:r w:rsidRPr="001D032A">
        <w:rPr>
          <w:bCs/>
          <w:sz w:val="24"/>
          <w:szCs w:val="24"/>
        </w:rPr>
        <w:t xml:space="preserve">Je proto nutné přistoupit k realizaci systémových opatření, která by </w:t>
      </w:r>
      <w:r w:rsidR="00210327">
        <w:rPr>
          <w:bCs/>
          <w:sz w:val="24"/>
          <w:szCs w:val="24"/>
        </w:rPr>
        <w:t>z dlouhodobějšího</w:t>
      </w:r>
      <w:r w:rsidRPr="001D032A">
        <w:rPr>
          <w:bCs/>
          <w:sz w:val="24"/>
          <w:szCs w:val="24"/>
        </w:rPr>
        <w:t xml:space="preserve"> horizontu řešila nesoulad mezi nároky na systém a jeho disponibilními zdroji, jelikož současně nastavené parametry hospodaření </w:t>
      </w:r>
      <w:r w:rsidRPr="001D032A">
        <w:rPr>
          <w:sz w:val="24"/>
          <w:szCs w:val="24"/>
        </w:rPr>
        <w:t>nejsou udržitelné ze střednědobé ani dlouhodobé perspektivy</w:t>
      </w:r>
      <w:r w:rsidRPr="001D032A">
        <w:rPr>
          <w:bCs/>
          <w:sz w:val="24"/>
          <w:szCs w:val="24"/>
        </w:rPr>
        <w:t>.</w:t>
      </w:r>
    </w:p>
    <w:p w:rsidR="003E1B90" w:rsidRPr="001D032A" w:rsidRDefault="003E1B90">
      <w:pPr>
        <w:rPr>
          <w:rFonts w:ascii="Calibri" w:eastAsia="Calibri" w:hAnsi="Calibri" w:cs="Arial"/>
          <w:b/>
          <w:lang w:bidi="en-US"/>
        </w:rPr>
      </w:pPr>
      <w:r w:rsidRPr="001D032A">
        <w:br w:type="page"/>
      </w:r>
    </w:p>
    <w:p w:rsidR="003E1B90" w:rsidRPr="001D032A" w:rsidRDefault="003E1B90" w:rsidP="003769A8">
      <w:pPr>
        <w:pStyle w:val="Nadpis1"/>
        <w:rPr>
          <w:b/>
        </w:rPr>
      </w:pPr>
      <w:bookmarkStart w:id="49" w:name="_Toc460456839"/>
      <w:bookmarkStart w:id="50" w:name="_Toc525944500"/>
      <w:r w:rsidRPr="001D032A">
        <w:rPr>
          <w:b/>
        </w:rPr>
        <w:lastRenderedPageBreak/>
        <w:t>Hodnocení jednotlivých zdravotních pojišťoven</w:t>
      </w:r>
      <w:bookmarkEnd w:id="49"/>
      <w:bookmarkEnd w:id="50"/>
    </w:p>
    <w:p w:rsidR="003E1B90" w:rsidRPr="001D032A" w:rsidRDefault="003E1B90" w:rsidP="003E1B90">
      <w:pPr>
        <w:jc w:val="both"/>
        <w:rPr>
          <w:sz w:val="24"/>
          <w:szCs w:val="24"/>
        </w:rPr>
      </w:pPr>
      <w:r w:rsidRPr="001D032A">
        <w:rPr>
          <w:sz w:val="24"/>
          <w:szCs w:val="24"/>
        </w:rPr>
        <w:t>Hodnocení jednotlivých zdravotních pojišťoven je převzato ze zdravo</w:t>
      </w:r>
      <w:r w:rsidR="002B1148" w:rsidRPr="001D032A">
        <w:rPr>
          <w:sz w:val="24"/>
          <w:szCs w:val="24"/>
        </w:rPr>
        <w:t>tně pojistných plánů na rok 201</w:t>
      </w:r>
      <w:r w:rsidR="00891FE6" w:rsidRPr="001D032A">
        <w:rPr>
          <w:sz w:val="24"/>
          <w:szCs w:val="24"/>
        </w:rPr>
        <w:t>8</w:t>
      </w:r>
      <w:r w:rsidRPr="001D032A">
        <w:rPr>
          <w:sz w:val="24"/>
          <w:szCs w:val="24"/>
        </w:rPr>
        <w:t>. Tyto plány přitom byly zpracovány dle platných právních předpisů a mají tak maximální vypovídající hodnotu.</w:t>
      </w:r>
    </w:p>
    <w:p w:rsidR="00AD2F7E" w:rsidRPr="001D032A" w:rsidRDefault="00AD2F7E" w:rsidP="003E1B90">
      <w:pPr>
        <w:pStyle w:val="Nadpis2"/>
      </w:pPr>
      <w:bookmarkStart w:id="51" w:name="_Toc460456840"/>
    </w:p>
    <w:p w:rsidR="003E1B90" w:rsidRPr="001D032A" w:rsidRDefault="003E1B90" w:rsidP="003E1B90">
      <w:pPr>
        <w:pStyle w:val="Nadpis2"/>
      </w:pPr>
      <w:bookmarkStart w:id="52" w:name="_Toc525944501"/>
      <w:r w:rsidRPr="001D032A">
        <w:t>Všeobecná zdravotní pojišťovna ČR (VZP ČR)</w:t>
      </w:r>
      <w:bookmarkEnd w:id="51"/>
      <w:bookmarkEnd w:id="52"/>
    </w:p>
    <w:p w:rsidR="003E1B90" w:rsidRPr="001D032A" w:rsidRDefault="003E1B90" w:rsidP="003E1B90">
      <w:pPr>
        <w:pStyle w:val="Nadpis3"/>
      </w:pPr>
      <w:bookmarkStart w:id="53" w:name="_Toc460456841"/>
      <w:bookmarkStart w:id="54" w:name="_Toc491000236"/>
      <w:bookmarkStart w:id="55" w:name="_Toc525944156"/>
      <w:r w:rsidRPr="001D032A">
        <w:t>Hodnocení ekonomické</w:t>
      </w:r>
      <w:bookmarkEnd w:id="53"/>
      <w:bookmarkEnd w:id="54"/>
      <w:bookmarkEnd w:id="55"/>
    </w:p>
    <w:p w:rsidR="00891FE6" w:rsidRPr="001D032A" w:rsidRDefault="00891FE6" w:rsidP="00891FE6">
      <w:pPr>
        <w:jc w:val="both"/>
        <w:rPr>
          <w:sz w:val="24"/>
          <w:szCs w:val="24"/>
        </w:rPr>
      </w:pPr>
      <w:bookmarkStart w:id="56" w:name="_Hlk525933616"/>
      <w:r w:rsidRPr="001D032A">
        <w:rPr>
          <w:sz w:val="24"/>
          <w:szCs w:val="24"/>
        </w:rPr>
        <w:t xml:space="preserve">Pojišťovna očekává v roce 2017 dosažení rekordního přebytku ve výši 5,06 mld. Kč, ten by se měl v roce 2018 zhoršit na 1,38 mld. Kč. Je to způsobeno předpokladem, že růst celkových výdajů bude předstihovat růst celkových příjmů o 2,4 p.b. </w:t>
      </w:r>
      <w:bookmarkEnd w:id="56"/>
      <w:r w:rsidRPr="001D032A">
        <w:rPr>
          <w:sz w:val="24"/>
          <w:szCs w:val="24"/>
        </w:rPr>
        <w:t>Nebude tak pokračovat růst poměru celkových zůstatků na účtech VZP ČR k celkovým výdajům, který se ustálí na 9 %. Absolutně však celkové zůstatky na konci roku 2018 vzrostou na 15,65 mld. Kč.</w:t>
      </w:r>
    </w:p>
    <w:p w:rsidR="00891FE6" w:rsidRPr="001D032A" w:rsidRDefault="00891FE6" w:rsidP="00891FE6">
      <w:pPr>
        <w:jc w:val="both"/>
        <w:rPr>
          <w:sz w:val="24"/>
          <w:szCs w:val="24"/>
        </w:rPr>
      </w:pPr>
      <w:bookmarkStart w:id="57" w:name="_Hlk525933734"/>
      <w:r w:rsidRPr="001D032A">
        <w:rPr>
          <w:sz w:val="24"/>
          <w:szCs w:val="24"/>
        </w:rPr>
        <w:t>VZP ČR v odhadu příjmů z výběrů pojistného očekává nižší růst objemu mezd a platů v české ekonomice oproti Makroekonomické predikci ČR sestavenou Ministerstvem financí o cca 1 p.b. Tento rozdíl představuje necelých 1,3 mld. Kč, které tvoří určitou rezervu pro případ horšího než predikovaného vývoje objemu mezd a platů.</w:t>
      </w:r>
      <w:bookmarkEnd w:id="57"/>
      <w:r w:rsidRPr="001D032A">
        <w:rPr>
          <w:sz w:val="24"/>
          <w:szCs w:val="24"/>
        </w:rPr>
        <w:t xml:space="preserve"> Bilanci hospodaření VZP však přímo ovlivňuje vývoj příjmů z pojistného po přerozdělování, jejichž meziroční růst pojišťovna odhaduje na 5,2 %. Zde se odráží vliv zvýšení platby státu za tzv. státní pojištěnce, ale také pokles průměrného počtu těchto pojištěnců (především v důsledku dalšího očekávaného snížení počtu nezaměstnaných) o cca 28 tisíc osob.</w:t>
      </w:r>
    </w:p>
    <w:p w:rsidR="00891FE6" w:rsidRPr="001D032A" w:rsidRDefault="00891FE6" w:rsidP="00891FE6">
      <w:pPr>
        <w:jc w:val="both"/>
        <w:rPr>
          <w:sz w:val="24"/>
          <w:szCs w:val="24"/>
        </w:rPr>
      </w:pPr>
      <w:bookmarkStart w:id="58" w:name="_Hlk525933808"/>
      <w:r w:rsidRPr="001D032A">
        <w:rPr>
          <w:sz w:val="24"/>
          <w:szCs w:val="24"/>
        </w:rPr>
        <w:t>Mimořádným vlivem, který v roce 2018 bude pozitivně působit na příjmy pojišťovny, je změna systému přerozdělování pojistného mezi zdravotní pojišťovny. Zde se bude nově zohledňovat počet a struktura chronických pacientů zařazených do farmaceuticko-nákladových skupin (PCG) dle spotřeby léčiv. Pojišťovna předpokládá meziroční zvýšení příjmů z přerozdělování vlivem tohoto parametru o 0,5 mld. Kč.</w:t>
      </w:r>
    </w:p>
    <w:bookmarkEnd w:id="58"/>
    <w:p w:rsidR="00891FE6" w:rsidRPr="001D032A" w:rsidRDefault="00891FE6" w:rsidP="00891FE6">
      <w:pPr>
        <w:jc w:val="both"/>
        <w:rPr>
          <w:sz w:val="24"/>
          <w:szCs w:val="24"/>
        </w:rPr>
      </w:pPr>
      <w:r w:rsidRPr="001D032A">
        <w:rPr>
          <w:sz w:val="24"/>
          <w:szCs w:val="24"/>
        </w:rPr>
        <w:t>VZP ČR plánuje v roce 2018, stejně jako v roce předchozím, 100 % využít maximální limit převodu prostředků na vlastní činnost. Výdaje na vlastní činnost dosáhnou 4,5 mld. Kč s 14 % meziroční</w:t>
      </w:r>
      <w:r w:rsidR="00D955FC">
        <w:rPr>
          <w:sz w:val="24"/>
          <w:szCs w:val="24"/>
        </w:rPr>
        <w:t>m</w:t>
      </w:r>
      <w:r w:rsidRPr="001D032A">
        <w:rPr>
          <w:sz w:val="24"/>
          <w:szCs w:val="24"/>
        </w:rPr>
        <w:t xml:space="preserve"> růstem. Nejvýznamnější položkou výdajů na vlastní činnost jsou výdaje na mzdy zaměstnanců pojišťovny, které v roce 2018 dosáhnou 1,82 mld. Kč při meziročním růstu o 4,9 %. Do růstu se promítne plánované zvýšení průměrného přepočteného počtu zaměstnanců o 1,7 % na 3 650. Poměrový ukazatel počtu pojištěnců na jednoho zaměstnance se dále sníží na 1 624 a bude nadále nejnižší mezi všemi zdravotními pojišťovnami. Ostatní provozní výdaje se budou zvyšovat o 20,8 % na 1,45 mld. Kč. To je zdůvodněno budováním Nového informačního systému (NIS), kde část nákladů je provozního charakteru, dále opravou a údržbou budov a zajištěním jiných provozních výdajů v oblasti ICT. </w:t>
      </w:r>
    </w:p>
    <w:p w:rsidR="00891FE6" w:rsidRPr="001D032A" w:rsidRDefault="00891FE6" w:rsidP="00891FE6">
      <w:pPr>
        <w:jc w:val="both"/>
        <w:rPr>
          <w:sz w:val="24"/>
          <w:szCs w:val="24"/>
        </w:rPr>
      </w:pPr>
      <w:bookmarkStart w:id="59" w:name="_Hlk525933946"/>
      <w:r w:rsidRPr="001D032A">
        <w:rPr>
          <w:sz w:val="24"/>
          <w:szCs w:val="24"/>
        </w:rPr>
        <w:t xml:space="preserve">Investice z FRM se mají zvýšit ze 180 na 340 mil. Kč. Zde je třeba poznamenat, že v posledních letech VZP ČR výrazně nedočerpávala naplánované prostředky na pořízení dlouhodobého hmotného a nehmotného majetku. Ke zvýšení investičních výdajů má dojít především kvůli pomalejšímu tempu realizace investičních akcí zaměřených na oblast ICT v roce 2017. Strategickým cílem investičního rozvoje je budování NIS. Pojišťovna musí také reagovat na bezpečnostní rizika, zajistit ochranu osobních údajů a ICT systémů proti kybernetickým </w:t>
      </w:r>
      <w:r w:rsidRPr="001D032A">
        <w:rPr>
          <w:sz w:val="24"/>
          <w:szCs w:val="24"/>
        </w:rPr>
        <w:lastRenderedPageBreak/>
        <w:t>hrozbám. V roce 2018 se chce zaměřit též na vybudování systému pro zpracování dokumentů a modernizaci datových center. Další investiční prostředky budou směřovat do rekonstrukce klientských hal a vyvolávacích systémů pro klientská pracoviště.</w:t>
      </w:r>
    </w:p>
    <w:bookmarkEnd w:id="59"/>
    <w:p w:rsidR="003E1B90" w:rsidRPr="001D032A" w:rsidRDefault="003E1B90" w:rsidP="003E1B90">
      <w:pPr>
        <w:rPr>
          <w:rFonts w:asciiTheme="majorHAnsi" w:eastAsiaTheme="majorEastAsia" w:hAnsiTheme="majorHAnsi" w:cstheme="majorBidi"/>
          <w:b/>
          <w:color w:val="511707" w:themeColor="accent1" w:themeShade="7F"/>
        </w:rPr>
      </w:pPr>
    </w:p>
    <w:p w:rsidR="003E1B90" w:rsidRPr="001D032A" w:rsidRDefault="003E1B90" w:rsidP="00A621AC">
      <w:pPr>
        <w:pStyle w:val="Nadpis3"/>
      </w:pPr>
      <w:bookmarkStart w:id="60" w:name="_Toc460455299"/>
      <w:bookmarkStart w:id="61" w:name="_Toc525944157"/>
      <w:r w:rsidRPr="001D032A">
        <w:t>Graf 3: Příjmy a výdaje VZP ČR</w:t>
      </w:r>
      <w:bookmarkEnd w:id="60"/>
      <w:r w:rsidR="00A1405A" w:rsidRPr="001D032A">
        <w:t xml:space="preserve"> v</w:t>
      </w:r>
      <w:r w:rsidR="005E0D53" w:rsidRPr="001D032A">
        <w:t> </w:t>
      </w:r>
      <w:r w:rsidR="00A1405A" w:rsidRPr="001D032A">
        <w:t>milionech</w:t>
      </w:r>
      <w:r w:rsidR="005E0D53" w:rsidRPr="001D032A">
        <w:t xml:space="preserve"> Kč</w:t>
      </w:r>
      <w:bookmarkEnd w:id="61"/>
    </w:p>
    <w:p w:rsidR="00676645" w:rsidRPr="001D032A" w:rsidRDefault="00D31E7C" w:rsidP="00676645">
      <w:r w:rsidRPr="001D032A">
        <w:rPr>
          <w:noProof/>
          <w:lang w:eastAsia="cs-CZ"/>
        </w:rPr>
        <w:drawing>
          <wp:inline distT="0" distB="0" distL="0" distR="0" wp14:anchorId="1B0B9811" wp14:editId="65989C22">
            <wp:extent cx="5745480" cy="2714625"/>
            <wp:effectExtent l="0" t="0" r="7620" b="9525"/>
            <wp:docPr id="10" name="Graf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DC52C6-D883-42ED-80D8-39EF443639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1E7C" w:rsidRPr="001D032A" w:rsidRDefault="00D31E7C" w:rsidP="00D31E7C">
      <w:pPr>
        <w:pStyle w:val="Bezmezer"/>
      </w:pPr>
      <w:r w:rsidRPr="001D032A">
        <w:t>* očekávaná skutečnost</w:t>
      </w:r>
    </w:p>
    <w:p w:rsidR="00D31E7C" w:rsidRPr="001D032A" w:rsidRDefault="00D31E7C" w:rsidP="00D31E7C">
      <w:pPr>
        <w:pStyle w:val="Bezmezer"/>
      </w:pPr>
      <w:r w:rsidRPr="001D032A">
        <w:t xml:space="preserve">** převzato ze zdravotních pojistných plánů </w:t>
      </w:r>
    </w:p>
    <w:p w:rsidR="003E1B90" w:rsidRPr="001D032A" w:rsidRDefault="003E1B90" w:rsidP="00A621AC">
      <w:pPr>
        <w:pStyle w:val="Nadpis3"/>
        <w:jc w:val="center"/>
      </w:pPr>
      <w:bookmarkStart w:id="62" w:name="_Toc491000238"/>
      <w:bookmarkStart w:id="63" w:name="_Toc525944158"/>
      <w:r w:rsidRPr="001D032A">
        <w:t>Zdroj: Ministerstvo zdravotnictví ČR</w:t>
      </w:r>
      <w:bookmarkEnd w:id="62"/>
      <w:bookmarkEnd w:id="63"/>
    </w:p>
    <w:p w:rsidR="00A621AC" w:rsidRPr="001D032A" w:rsidRDefault="00A621AC" w:rsidP="00A621AC"/>
    <w:p w:rsidR="003E1B90" w:rsidRPr="001D032A" w:rsidRDefault="003E1B90" w:rsidP="003E1B90">
      <w:pPr>
        <w:pStyle w:val="Nadpis3"/>
      </w:pPr>
      <w:bookmarkStart w:id="64" w:name="_Toc460456842"/>
      <w:bookmarkStart w:id="65" w:name="_Toc491000239"/>
      <w:bookmarkStart w:id="66" w:name="_Toc525944159"/>
      <w:r w:rsidRPr="001D032A">
        <w:t>Hodnocení zdravotní</w:t>
      </w:r>
      <w:bookmarkEnd w:id="64"/>
      <w:bookmarkEnd w:id="65"/>
      <w:bookmarkEnd w:id="66"/>
    </w:p>
    <w:p w:rsidR="00891FE6" w:rsidRPr="001D032A" w:rsidRDefault="00891FE6" w:rsidP="00891FE6">
      <w:pPr>
        <w:jc w:val="both"/>
        <w:rPr>
          <w:sz w:val="24"/>
          <w:szCs w:val="24"/>
        </w:rPr>
      </w:pPr>
      <w:r w:rsidRPr="001D032A">
        <w:rPr>
          <w:sz w:val="24"/>
          <w:szCs w:val="24"/>
        </w:rPr>
        <w:t>VZP ČR ve svém ZPP 2018 uvádí, že bude i nadále dbát na sledování kvality poskytovaných zdravotních služeb tak, aby pro pojištěnce zajistila nejen dostupné, ale i kvalitní a bezpečné zdravotní služby. Dále bude sledovat, zda jsou zdravotní služby poskytovány v souladu s právními předpisy a podmínkami stanovenými odbornými společnostmi a zda je zajištěna návaznost dalších potřebných zdravotních služeb.</w:t>
      </w:r>
    </w:p>
    <w:p w:rsidR="00891FE6" w:rsidRPr="001D032A" w:rsidRDefault="00891FE6" w:rsidP="00891FE6">
      <w:pPr>
        <w:jc w:val="both"/>
        <w:rPr>
          <w:sz w:val="24"/>
          <w:szCs w:val="24"/>
          <w:highlight w:val="yellow"/>
        </w:rPr>
      </w:pPr>
      <w:r w:rsidRPr="001D032A">
        <w:rPr>
          <w:sz w:val="24"/>
          <w:szCs w:val="24"/>
        </w:rPr>
        <w:t>V roce 2018 by dle ZPP nemělo docházet k výraznějším změnám smluvní politiky ve vztahu k poskytovatelům zdravotních služeb. VZP ČR bude v roce 2018 podporovat zejména vznik nových praxí všeobecných praktických lékařů, praktických lékařů pro děti a dorost a nových stomatologických praxí v regionech, kde je obtížná dostupnost těchto druhů primární péče, a to formou koeficientu navýšení celkové výše úhrady Podporovány budou ordinace, kde probíhá příprava budoucích praktických lékařů, což je podstatný krok pro zajištění generační výměny lékařů v těchto segmentech.</w:t>
      </w:r>
    </w:p>
    <w:p w:rsidR="00891FE6" w:rsidRPr="001D032A" w:rsidRDefault="00891FE6" w:rsidP="00891FE6">
      <w:pPr>
        <w:jc w:val="both"/>
        <w:rPr>
          <w:color w:val="FF0000"/>
          <w:sz w:val="24"/>
          <w:szCs w:val="24"/>
        </w:rPr>
      </w:pPr>
      <w:r w:rsidRPr="001D032A">
        <w:rPr>
          <w:sz w:val="24"/>
          <w:szCs w:val="24"/>
        </w:rPr>
        <w:t>Soustava smluvních poskytovatelů zdravotních služeb je u většiny kategorií dlouhodobě stabilní, a ani v roce 2018 nejsou předpokládány výraznější změny</w:t>
      </w:r>
      <w:r w:rsidR="00D955FC">
        <w:rPr>
          <w:sz w:val="24"/>
          <w:szCs w:val="24"/>
        </w:rPr>
        <w:t>.</w:t>
      </w:r>
      <w:r w:rsidRPr="001D032A">
        <w:rPr>
          <w:color w:val="FF0000"/>
          <w:sz w:val="24"/>
          <w:szCs w:val="24"/>
        </w:rPr>
        <w:t xml:space="preserve"> </w:t>
      </w:r>
      <w:r w:rsidRPr="001D032A">
        <w:rPr>
          <w:sz w:val="24"/>
          <w:szCs w:val="24"/>
        </w:rPr>
        <w:t>Počet smluvních praktických lékařů pro děti a dorost vykazuje mírný klesající trend z důvodu věkové struktury lékařů.</w:t>
      </w:r>
    </w:p>
    <w:p w:rsidR="003E1B90" w:rsidRPr="001D032A" w:rsidRDefault="003E1B90" w:rsidP="00A621AC">
      <w:pPr>
        <w:jc w:val="both"/>
        <w:rPr>
          <w:sz w:val="24"/>
          <w:szCs w:val="24"/>
        </w:rPr>
      </w:pPr>
      <w:r w:rsidRPr="001D032A">
        <w:rPr>
          <w:sz w:val="24"/>
          <w:szCs w:val="24"/>
        </w:rPr>
        <w:br w:type="page"/>
      </w:r>
    </w:p>
    <w:p w:rsidR="003E1B90" w:rsidRPr="001D032A" w:rsidRDefault="003E1B90" w:rsidP="00A621AC">
      <w:pPr>
        <w:pStyle w:val="Nadpis3"/>
      </w:pPr>
      <w:bookmarkStart w:id="67" w:name="_Toc460455300"/>
      <w:bookmarkStart w:id="68" w:name="_Toc525944160"/>
      <w:r w:rsidRPr="001D032A">
        <w:lastRenderedPageBreak/>
        <w:t>Tabulka 4: Soustava smluvních poskytovatelů zdravotních služeb</w:t>
      </w:r>
      <w:bookmarkEnd w:id="67"/>
      <w:bookmarkEnd w:id="68"/>
    </w:p>
    <w:tbl>
      <w:tblPr>
        <w:tblStyle w:val="Tabulkasmkou4zvraznn1"/>
        <w:tblW w:w="9062" w:type="dxa"/>
        <w:jc w:val="center"/>
        <w:tblLayout w:type="fixed"/>
        <w:tblLook w:val="04A0" w:firstRow="1" w:lastRow="0" w:firstColumn="1" w:lastColumn="0" w:noHBand="0" w:noVBand="1"/>
      </w:tblPr>
      <w:tblGrid>
        <w:gridCol w:w="2202"/>
        <w:gridCol w:w="979"/>
        <w:gridCol w:w="980"/>
        <w:gridCol w:w="981"/>
        <w:gridCol w:w="980"/>
        <w:gridCol w:w="980"/>
        <w:gridCol w:w="980"/>
        <w:gridCol w:w="980"/>
      </w:tblGrid>
      <w:tr w:rsidR="00891FE6" w:rsidRPr="001D032A" w:rsidTr="00A621AC">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A4651A">
            <w:pPr>
              <w:jc w:val="center"/>
              <w:rPr>
                <w:rFonts w:ascii="Calibri" w:hAnsi="Calibri"/>
                <w:bCs w:val="0"/>
                <w:color w:val="FFFFFF"/>
              </w:rPr>
            </w:pPr>
            <w:r w:rsidRPr="001D032A">
              <w:rPr>
                <w:rFonts w:ascii="Calibri" w:hAnsi="Calibri"/>
                <w:bCs w:val="0"/>
                <w:color w:val="FFFFFF"/>
              </w:rPr>
              <w:t>Kategorie</w:t>
            </w:r>
          </w:p>
          <w:p w:rsidR="00891FE6" w:rsidRPr="001D032A" w:rsidRDefault="00891FE6" w:rsidP="00A4651A">
            <w:pPr>
              <w:jc w:val="center"/>
              <w:rPr>
                <w:rFonts w:ascii="Calibri" w:hAnsi="Calibri"/>
                <w:bCs w:val="0"/>
                <w:color w:val="FFFFFF"/>
              </w:rPr>
            </w:pPr>
            <w:r w:rsidRPr="001D032A">
              <w:rPr>
                <w:rFonts w:ascii="Calibri" w:hAnsi="Calibri"/>
                <w:bCs w:val="0"/>
                <w:color w:val="FFFFFF"/>
              </w:rPr>
              <w:t>smluvních PZS</w:t>
            </w:r>
          </w:p>
        </w:tc>
        <w:tc>
          <w:tcPr>
            <w:tcW w:w="979"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2012</w:t>
            </w:r>
          </w:p>
        </w:tc>
        <w:tc>
          <w:tcPr>
            <w:tcW w:w="980"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2013</w:t>
            </w:r>
          </w:p>
        </w:tc>
        <w:tc>
          <w:tcPr>
            <w:tcW w:w="981"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2014</w:t>
            </w:r>
          </w:p>
        </w:tc>
        <w:tc>
          <w:tcPr>
            <w:tcW w:w="980"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2015</w:t>
            </w:r>
          </w:p>
        </w:tc>
        <w:tc>
          <w:tcPr>
            <w:tcW w:w="980"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2016</w:t>
            </w:r>
          </w:p>
        </w:tc>
        <w:tc>
          <w:tcPr>
            <w:tcW w:w="980"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2017*</w:t>
            </w:r>
          </w:p>
        </w:tc>
        <w:tc>
          <w:tcPr>
            <w:tcW w:w="980"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2018**</w:t>
            </w:r>
          </w:p>
        </w:tc>
      </w:tr>
      <w:tr w:rsidR="00891FE6" w:rsidRPr="001D032A" w:rsidTr="00A621A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Ambulantní poskytovatelé</w:t>
            </w:r>
          </w:p>
        </w:tc>
        <w:tc>
          <w:tcPr>
            <w:tcW w:w="979"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36 067</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1D032A">
              <w:rPr>
                <w:bCs/>
                <w:color w:val="000000"/>
                <w:sz w:val="20"/>
                <w:szCs w:val="20"/>
              </w:rPr>
              <w:t>36 059</w:t>
            </w:r>
          </w:p>
        </w:tc>
        <w:tc>
          <w:tcPr>
            <w:tcW w:w="981"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1D032A">
              <w:rPr>
                <w:bCs/>
                <w:color w:val="000000"/>
                <w:sz w:val="20"/>
                <w:szCs w:val="20"/>
              </w:rPr>
              <w:t>36 135</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1D032A">
              <w:rPr>
                <w:rFonts w:cs="Arial"/>
                <w:bCs/>
                <w:color w:val="000000"/>
                <w:sz w:val="20"/>
                <w:szCs w:val="20"/>
              </w:rPr>
              <w:t>36 390</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36 623</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36 613</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36 748</w:t>
            </w:r>
          </w:p>
        </w:tc>
      </w:tr>
      <w:tr w:rsidR="00891FE6" w:rsidRPr="001D032A" w:rsidTr="00A621AC">
        <w:trPr>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 xml:space="preserve">Praktický lékař pro dospělé </w:t>
            </w:r>
          </w:p>
        </w:tc>
        <w:tc>
          <w:tcPr>
            <w:tcW w:w="979"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5 415</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5 406</w:t>
            </w:r>
          </w:p>
        </w:tc>
        <w:tc>
          <w:tcPr>
            <w:tcW w:w="981"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5 394</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5 396</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5 405</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5 379</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5 370</w:t>
            </w:r>
          </w:p>
        </w:tc>
      </w:tr>
      <w:tr w:rsidR="00891FE6" w:rsidRPr="001D032A" w:rsidTr="00A621A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 xml:space="preserve">Praktický lékař pro děti a dorost </w:t>
            </w:r>
          </w:p>
        </w:tc>
        <w:tc>
          <w:tcPr>
            <w:tcW w:w="979"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2 264</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2 234</w:t>
            </w:r>
          </w:p>
        </w:tc>
        <w:tc>
          <w:tcPr>
            <w:tcW w:w="981"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2 191</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2 154</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2 129</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2 102</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2 076</w:t>
            </w:r>
          </w:p>
        </w:tc>
      </w:tr>
      <w:tr w:rsidR="00891FE6" w:rsidRPr="001D032A" w:rsidTr="00A621AC">
        <w:trPr>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Praktický zubní lékař</w:t>
            </w:r>
          </w:p>
        </w:tc>
        <w:tc>
          <w:tcPr>
            <w:tcW w:w="979"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7 513</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7 558</w:t>
            </w:r>
          </w:p>
        </w:tc>
        <w:tc>
          <w:tcPr>
            <w:tcW w:w="981"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7 701</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7 889</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8 025</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8 025</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8 093</w:t>
            </w:r>
          </w:p>
        </w:tc>
      </w:tr>
      <w:tr w:rsidR="00891FE6" w:rsidRPr="001D032A" w:rsidTr="00A621A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 xml:space="preserve">Ostatní ambulantní poskytovatelé </w:t>
            </w:r>
          </w:p>
        </w:tc>
        <w:tc>
          <w:tcPr>
            <w:tcW w:w="979"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20 875</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20 861</w:t>
            </w:r>
          </w:p>
        </w:tc>
        <w:tc>
          <w:tcPr>
            <w:tcW w:w="981"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20 849</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20 951</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21 064</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21 107</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21 209</w:t>
            </w:r>
          </w:p>
        </w:tc>
      </w:tr>
      <w:tr w:rsidR="00891FE6" w:rsidRPr="001D032A" w:rsidTr="00A621AC">
        <w:trPr>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 xml:space="preserve">Lůžkoví poskytovatelé </w:t>
            </w:r>
          </w:p>
        </w:tc>
        <w:tc>
          <w:tcPr>
            <w:tcW w:w="979"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272</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1D032A">
              <w:rPr>
                <w:bCs/>
                <w:color w:val="000000"/>
                <w:sz w:val="20"/>
                <w:szCs w:val="20"/>
              </w:rPr>
              <w:t>270</w:t>
            </w:r>
          </w:p>
        </w:tc>
        <w:tc>
          <w:tcPr>
            <w:tcW w:w="981"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1D032A">
              <w:rPr>
                <w:bCs/>
                <w:color w:val="000000"/>
                <w:sz w:val="20"/>
                <w:szCs w:val="20"/>
              </w:rPr>
              <w:t>269</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bCs/>
                <w:color w:val="000000"/>
                <w:sz w:val="20"/>
                <w:szCs w:val="20"/>
              </w:rPr>
            </w:pPr>
            <w:r w:rsidRPr="001D032A">
              <w:rPr>
                <w:rFonts w:cs="Arial"/>
                <w:bCs/>
                <w:color w:val="000000"/>
                <w:sz w:val="20"/>
                <w:szCs w:val="20"/>
              </w:rPr>
              <w:t>267</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267</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268</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D032A">
              <w:rPr>
                <w:rFonts w:cs="Arial"/>
                <w:color w:val="000000"/>
                <w:sz w:val="20"/>
                <w:szCs w:val="20"/>
              </w:rPr>
              <w:t>272</w:t>
            </w:r>
          </w:p>
        </w:tc>
      </w:tr>
      <w:tr w:rsidR="00891FE6" w:rsidRPr="001D032A" w:rsidTr="00A621A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 xml:space="preserve">Ostatní poskytovatelé </w:t>
            </w:r>
          </w:p>
        </w:tc>
        <w:tc>
          <w:tcPr>
            <w:tcW w:w="979"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3 779</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1D032A">
              <w:rPr>
                <w:bCs/>
                <w:color w:val="000000"/>
                <w:sz w:val="20"/>
                <w:szCs w:val="20"/>
              </w:rPr>
              <w:t>3 850</w:t>
            </w:r>
          </w:p>
        </w:tc>
        <w:tc>
          <w:tcPr>
            <w:tcW w:w="981"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1D032A">
              <w:rPr>
                <w:bCs/>
                <w:color w:val="000000"/>
                <w:sz w:val="20"/>
                <w:szCs w:val="20"/>
              </w:rPr>
              <w:t>3 945</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1D032A">
              <w:rPr>
                <w:rFonts w:cs="Arial"/>
                <w:bCs/>
                <w:color w:val="000000"/>
                <w:sz w:val="20"/>
                <w:szCs w:val="20"/>
              </w:rPr>
              <w:t>4 127</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4 089</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4 026</w:t>
            </w:r>
          </w:p>
        </w:tc>
        <w:tc>
          <w:tcPr>
            <w:tcW w:w="980"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D032A">
              <w:rPr>
                <w:rFonts w:cs="Arial"/>
                <w:color w:val="000000"/>
                <w:sz w:val="20"/>
                <w:szCs w:val="20"/>
              </w:rPr>
              <w:t>4 011</w:t>
            </w:r>
          </w:p>
        </w:tc>
      </w:tr>
      <w:tr w:rsidR="00891FE6" w:rsidRPr="001D032A" w:rsidTr="00A621AC">
        <w:trPr>
          <w:trHeight w:val="586"/>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Celkem</w:t>
            </w:r>
          </w:p>
        </w:tc>
        <w:tc>
          <w:tcPr>
            <w:tcW w:w="979"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40 118</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40 179</w:t>
            </w:r>
          </w:p>
        </w:tc>
        <w:tc>
          <w:tcPr>
            <w:tcW w:w="981"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40 349</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40 784</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40 979</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40 907</w:t>
            </w:r>
          </w:p>
        </w:tc>
        <w:tc>
          <w:tcPr>
            <w:tcW w:w="980"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1D032A">
              <w:rPr>
                <w:rFonts w:cs="Arial"/>
                <w:b/>
                <w:bCs/>
                <w:color w:val="000000"/>
                <w:sz w:val="20"/>
                <w:szCs w:val="20"/>
              </w:rPr>
              <w:t>41 031</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A621AC">
      <w:pPr>
        <w:pStyle w:val="Nadpis3"/>
        <w:jc w:val="center"/>
      </w:pPr>
      <w:bookmarkStart w:id="69" w:name="_Toc491000241"/>
      <w:bookmarkStart w:id="70" w:name="_Toc525944161"/>
      <w:r w:rsidRPr="001D032A">
        <w:t>Zdroj: Ministerstvo zdravotnictví ČR</w:t>
      </w:r>
      <w:bookmarkEnd w:id="69"/>
      <w:bookmarkEnd w:id="70"/>
    </w:p>
    <w:p w:rsidR="00A621AC" w:rsidRPr="001D032A" w:rsidRDefault="00A621AC" w:rsidP="00A621AC"/>
    <w:p w:rsidR="00891FE6" w:rsidRPr="001D032A" w:rsidRDefault="00891FE6" w:rsidP="00891FE6">
      <w:pPr>
        <w:jc w:val="both"/>
        <w:rPr>
          <w:sz w:val="24"/>
          <w:szCs w:val="24"/>
        </w:rPr>
      </w:pPr>
      <w:bookmarkStart w:id="71" w:name="_Toc460455301"/>
      <w:r w:rsidRPr="001D032A">
        <w:rPr>
          <w:sz w:val="24"/>
          <w:szCs w:val="24"/>
        </w:rPr>
        <w:t>Celkové náklady na zdravotní služby čerpané ze ZFZP plánuje VZP ČR ve výši 171 597 mil. Kč, což představuje meziroční nárůst o 6,8 % oproti očekávané skutečnosti roku 2017. Průměrné náklady na zdravotní služby na 1 pojištěnce jsou plánovány ve výši 28 957 Kč, což v meziročním porovnání znamená nárůst o 6,8 %. Pro rok 2018 jsou tedy plánovány historicky nejvyšší průměrné náklady na pojištěnce.</w:t>
      </w:r>
    </w:p>
    <w:p w:rsidR="003E1B90" w:rsidRPr="001D032A" w:rsidRDefault="003E1B90" w:rsidP="00AD2F7E">
      <w:pPr>
        <w:pStyle w:val="Nadpis3"/>
      </w:pPr>
      <w:bookmarkStart w:id="72" w:name="_Toc525944162"/>
      <w:r w:rsidRPr="001D032A">
        <w:t>Tabulka 5: Struktura nákladů na zdravotní služby podle jednotlivých segmentů</w:t>
      </w:r>
      <w:bookmarkEnd w:id="71"/>
      <w:bookmarkEnd w:id="72"/>
    </w:p>
    <w:tbl>
      <w:tblPr>
        <w:tblStyle w:val="Tabulkasmkou4zvraznn1"/>
        <w:tblW w:w="9062" w:type="dxa"/>
        <w:tblLayout w:type="fixed"/>
        <w:tblLook w:val="04A0" w:firstRow="1" w:lastRow="0" w:firstColumn="1" w:lastColumn="0" w:noHBand="0" w:noVBand="1"/>
      </w:tblPr>
      <w:tblGrid>
        <w:gridCol w:w="1796"/>
        <w:gridCol w:w="1038"/>
        <w:gridCol w:w="1038"/>
        <w:gridCol w:w="1038"/>
        <w:gridCol w:w="1038"/>
        <w:gridCol w:w="1038"/>
        <w:gridCol w:w="1038"/>
        <w:gridCol w:w="1038"/>
      </w:tblGrid>
      <w:tr w:rsidR="00891FE6" w:rsidRPr="001D032A" w:rsidTr="00AD2F7E">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96" w:type="dxa"/>
            <w:vAlign w:val="center"/>
            <w:hideMark/>
          </w:tcPr>
          <w:p w:rsidR="00891FE6" w:rsidRPr="001D032A" w:rsidRDefault="00891FE6" w:rsidP="00891FE6">
            <w:pPr>
              <w:jc w:val="center"/>
              <w:rPr>
                <w:rFonts w:ascii="Calibri" w:hAnsi="Calibri"/>
                <w:bCs w:val="0"/>
                <w:color w:val="FFFFFF"/>
              </w:rPr>
            </w:pPr>
            <w:r w:rsidRPr="001D032A">
              <w:rPr>
                <w:rFonts w:ascii="Calibri" w:hAnsi="Calibri"/>
                <w:bCs w:val="0"/>
                <w:color w:val="FFFFFF"/>
              </w:rPr>
              <w:t>Ukazatel</w:t>
            </w:r>
          </w:p>
          <w:p w:rsidR="00891FE6" w:rsidRPr="001D032A" w:rsidRDefault="00891FE6" w:rsidP="00891FE6">
            <w:pPr>
              <w:jc w:val="center"/>
              <w:rPr>
                <w:rFonts w:ascii="Calibri" w:hAnsi="Calibri"/>
                <w:bCs w:val="0"/>
                <w:color w:val="FFFFFF"/>
              </w:rPr>
            </w:pPr>
            <w:r w:rsidRPr="001D032A">
              <w:rPr>
                <w:rFonts w:ascii="Calibri" w:hAnsi="Calibri"/>
                <w:bCs w:val="0"/>
                <w:color w:val="FFFFFF"/>
              </w:rPr>
              <w:t>(v mil. Kč)</w:t>
            </w:r>
          </w:p>
        </w:tc>
        <w:tc>
          <w:tcPr>
            <w:tcW w:w="1038" w:type="dxa"/>
            <w:vAlign w:val="center"/>
            <w:hideMark/>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2012</w:t>
            </w:r>
          </w:p>
        </w:tc>
        <w:tc>
          <w:tcPr>
            <w:tcW w:w="1038" w:type="dxa"/>
            <w:vAlign w:val="center"/>
            <w:hideMark/>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2013</w:t>
            </w:r>
          </w:p>
        </w:tc>
        <w:tc>
          <w:tcPr>
            <w:tcW w:w="1038" w:type="dxa"/>
            <w:vAlign w:val="center"/>
            <w:hideMark/>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2014</w:t>
            </w:r>
          </w:p>
        </w:tc>
        <w:tc>
          <w:tcPr>
            <w:tcW w:w="1038" w:type="dxa"/>
            <w:vAlign w:val="center"/>
            <w:hideMark/>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2015</w:t>
            </w:r>
          </w:p>
        </w:tc>
        <w:tc>
          <w:tcPr>
            <w:tcW w:w="1038" w:type="dxa"/>
            <w:vAlign w:val="center"/>
            <w:hideMark/>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2016</w:t>
            </w:r>
          </w:p>
        </w:tc>
        <w:tc>
          <w:tcPr>
            <w:tcW w:w="1038" w:type="dxa"/>
            <w:vAlign w:val="center"/>
            <w:hideMark/>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2017*</w:t>
            </w:r>
          </w:p>
        </w:tc>
        <w:tc>
          <w:tcPr>
            <w:tcW w:w="1038" w:type="dxa"/>
            <w:vAlign w:val="center"/>
          </w:tcPr>
          <w:p w:rsidR="00891FE6" w:rsidRPr="001D032A" w:rsidRDefault="00891FE6" w:rsidP="00891FE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2018**</w:t>
            </w:r>
          </w:p>
        </w:tc>
      </w:tr>
      <w:tr w:rsidR="00891FE6" w:rsidRPr="001D032A" w:rsidTr="00AD2F7E">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96" w:type="dxa"/>
            <w:vAlign w:val="center"/>
            <w:hideMark/>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Náklady na ambulantní péči</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34 639</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35 086</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35 455</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36 353</w:t>
            </w:r>
          </w:p>
        </w:tc>
        <w:tc>
          <w:tcPr>
            <w:tcW w:w="1038"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38 325</w:t>
            </w:r>
          </w:p>
        </w:tc>
        <w:tc>
          <w:tcPr>
            <w:tcW w:w="1038"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40 283</w:t>
            </w:r>
          </w:p>
        </w:tc>
        <w:tc>
          <w:tcPr>
            <w:tcW w:w="1038"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41 870</w:t>
            </w:r>
          </w:p>
        </w:tc>
      </w:tr>
      <w:tr w:rsidR="00891FE6" w:rsidRPr="001D032A" w:rsidTr="00AD2F7E">
        <w:trPr>
          <w:trHeight w:val="586"/>
        </w:trPr>
        <w:tc>
          <w:tcPr>
            <w:cnfStyle w:val="001000000000" w:firstRow="0" w:lastRow="0" w:firstColumn="1" w:lastColumn="0" w:oddVBand="0" w:evenVBand="0" w:oddHBand="0" w:evenHBand="0" w:firstRowFirstColumn="0" w:firstRowLastColumn="0" w:lastRowFirstColumn="0" w:lastRowLastColumn="0"/>
            <w:tcW w:w="1796" w:type="dxa"/>
            <w:vAlign w:val="center"/>
            <w:hideMark/>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Náklady na lůžkovou péči</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76 596</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73 531</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77 296</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79 876</w:t>
            </w:r>
          </w:p>
        </w:tc>
        <w:tc>
          <w:tcPr>
            <w:tcW w:w="1038"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83 299</w:t>
            </w:r>
          </w:p>
        </w:tc>
        <w:tc>
          <w:tcPr>
            <w:tcW w:w="1038"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88 516</w:t>
            </w:r>
          </w:p>
        </w:tc>
        <w:tc>
          <w:tcPr>
            <w:tcW w:w="1038"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96 609</w:t>
            </w:r>
          </w:p>
        </w:tc>
      </w:tr>
      <w:tr w:rsidR="00891FE6" w:rsidRPr="001D032A" w:rsidTr="00AD2F7E">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96" w:type="dxa"/>
            <w:vAlign w:val="center"/>
            <w:hideMark/>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Ostatní náklady</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32 511</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30 305</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30 337</w:t>
            </w:r>
          </w:p>
        </w:tc>
        <w:tc>
          <w:tcPr>
            <w:tcW w:w="1038" w:type="dxa"/>
            <w:vAlign w:val="center"/>
            <w:hideMark/>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30 625</w:t>
            </w:r>
          </w:p>
        </w:tc>
        <w:tc>
          <w:tcPr>
            <w:tcW w:w="1038"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31 128</w:t>
            </w:r>
          </w:p>
        </w:tc>
        <w:tc>
          <w:tcPr>
            <w:tcW w:w="1038"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31 830</w:t>
            </w:r>
          </w:p>
        </w:tc>
        <w:tc>
          <w:tcPr>
            <w:tcW w:w="1038" w:type="dxa"/>
            <w:vAlign w:val="center"/>
          </w:tcPr>
          <w:p w:rsidR="00891FE6" w:rsidRPr="001D032A" w:rsidRDefault="00891FE6" w:rsidP="00891FE6">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33 118</w:t>
            </w:r>
          </w:p>
        </w:tc>
      </w:tr>
      <w:tr w:rsidR="00891FE6" w:rsidRPr="001D032A" w:rsidTr="00AD2F7E">
        <w:trPr>
          <w:trHeight w:val="586"/>
        </w:trPr>
        <w:tc>
          <w:tcPr>
            <w:cnfStyle w:val="001000000000" w:firstRow="0" w:lastRow="0" w:firstColumn="1" w:lastColumn="0" w:oddVBand="0" w:evenVBand="0" w:oddHBand="0" w:evenHBand="0" w:firstRowFirstColumn="0" w:firstRowLastColumn="0" w:lastRowFirstColumn="0" w:lastRowLastColumn="0"/>
            <w:tcW w:w="1796" w:type="dxa"/>
            <w:vAlign w:val="center"/>
            <w:hideMark/>
          </w:tcPr>
          <w:p w:rsidR="00891FE6" w:rsidRPr="001D032A" w:rsidRDefault="00891FE6" w:rsidP="00891FE6">
            <w:pPr>
              <w:rPr>
                <w:rFonts w:ascii="Calibri" w:hAnsi="Calibri"/>
                <w:b w:val="0"/>
                <w:bCs w:val="0"/>
                <w:sz w:val="20"/>
                <w:szCs w:val="20"/>
              </w:rPr>
            </w:pPr>
            <w:r w:rsidRPr="001D032A">
              <w:rPr>
                <w:rFonts w:ascii="Calibri" w:hAnsi="Calibri"/>
                <w:b w:val="0"/>
                <w:bCs w:val="0"/>
                <w:sz w:val="20"/>
                <w:szCs w:val="20"/>
              </w:rPr>
              <w:t>Celkové náklady</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1D032A">
              <w:rPr>
                <w:rFonts w:ascii="Calibri" w:hAnsi="Calibri"/>
                <w:b/>
                <w:bCs/>
                <w:sz w:val="20"/>
                <w:szCs w:val="20"/>
              </w:rPr>
              <w:t>143 746</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1D032A">
              <w:rPr>
                <w:rFonts w:ascii="Calibri" w:hAnsi="Calibri"/>
                <w:b/>
                <w:bCs/>
                <w:sz w:val="20"/>
                <w:szCs w:val="20"/>
              </w:rPr>
              <w:t>138 922</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1D032A">
              <w:rPr>
                <w:rFonts w:ascii="Calibri" w:hAnsi="Calibri"/>
                <w:b/>
                <w:bCs/>
                <w:sz w:val="20"/>
                <w:szCs w:val="20"/>
              </w:rPr>
              <w:t>143 088</w:t>
            </w:r>
          </w:p>
        </w:tc>
        <w:tc>
          <w:tcPr>
            <w:tcW w:w="1038" w:type="dxa"/>
            <w:vAlign w:val="center"/>
            <w:hideMark/>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D032A">
              <w:rPr>
                <w:rFonts w:ascii="Calibri" w:hAnsi="Calibri"/>
                <w:b/>
                <w:bCs/>
                <w:color w:val="000000"/>
                <w:sz w:val="20"/>
                <w:szCs w:val="20"/>
              </w:rPr>
              <w:t>146 854</w:t>
            </w:r>
          </w:p>
        </w:tc>
        <w:tc>
          <w:tcPr>
            <w:tcW w:w="1038"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D032A">
              <w:rPr>
                <w:rFonts w:ascii="Calibri" w:hAnsi="Calibri"/>
                <w:b/>
                <w:bCs/>
                <w:color w:val="000000"/>
                <w:sz w:val="20"/>
                <w:szCs w:val="20"/>
              </w:rPr>
              <w:t>152 752</w:t>
            </w:r>
          </w:p>
        </w:tc>
        <w:tc>
          <w:tcPr>
            <w:tcW w:w="1038"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D032A">
              <w:rPr>
                <w:rFonts w:ascii="Calibri" w:hAnsi="Calibri"/>
                <w:b/>
                <w:bCs/>
                <w:color w:val="000000"/>
                <w:sz w:val="20"/>
                <w:szCs w:val="20"/>
              </w:rPr>
              <w:t>160 629</w:t>
            </w:r>
          </w:p>
        </w:tc>
        <w:tc>
          <w:tcPr>
            <w:tcW w:w="1038" w:type="dxa"/>
            <w:vAlign w:val="center"/>
          </w:tcPr>
          <w:p w:rsidR="00891FE6" w:rsidRPr="001D032A" w:rsidRDefault="00891FE6" w:rsidP="00891FE6">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D032A">
              <w:rPr>
                <w:rFonts w:ascii="Calibri" w:hAnsi="Calibri"/>
                <w:b/>
                <w:bCs/>
                <w:color w:val="000000"/>
                <w:sz w:val="20"/>
                <w:szCs w:val="20"/>
              </w:rPr>
              <w:t>171 597</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AD2F7E">
      <w:pPr>
        <w:pStyle w:val="Nadpis3"/>
        <w:jc w:val="center"/>
      </w:pPr>
      <w:bookmarkStart w:id="73" w:name="_Toc491000243"/>
      <w:bookmarkStart w:id="74" w:name="_Toc525944163"/>
      <w:r w:rsidRPr="001D032A">
        <w:t>Zdroj: Ministerstvo zdravotnictví ČR</w:t>
      </w:r>
      <w:bookmarkEnd w:id="73"/>
      <w:bookmarkEnd w:id="74"/>
    </w:p>
    <w:p w:rsidR="00AD2F7E" w:rsidRPr="001D032A" w:rsidRDefault="00AD2F7E">
      <w:r w:rsidRPr="001D032A">
        <w:br w:type="page"/>
      </w:r>
    </w:p>
    <w:p w:rsidR="003C0A91" w:rsidRPr="001D032A" w:rsidRDefault="003C0A91" w:rsidP="003C0A91">
      <w:pPr>
        <w:jc w:val="both"/>
        <w:rPr>
          <w:sz w:val="24"/>
          <w:szCs w:val="24"/>
        </w:rPr>
      </w:pPr>
      <w:bookmarkStart w:id="75" w:name="_Toc460455302"/>
      <w:r w:rsidRPr="001D032A">
        <w:rPr>
          <w:bCs/>
          <w:sz w:val="24"/>
          <w:szCs w:val="24"/>
        </w:rPr>
        <w:lastRenderedPageBreak/>
        <w:t xml:space="preserve">Náklady na preventivní péči </w:t>
      </w:r>
      <w:r w:rsidRPr="001D032A">
        <w:rPr>
          <w:sz w:val="24"/>
          <w:szCs w:val="24"/>
        </w:rPr>
        <w:t>čerpané z Fprev plánuje VZP ČR v celkové výši 522,6 mil. Kč, tj. meziroční nárůst nákladů o 1,5 % a v absolutním vyjádření o 7,9 mil. Kč. Program prevence bude i v roce 2018 členěn do tří základních skupin, tj. zdravotně preventivní programy, ozdravné pobyty a ostatní. U zdravotně preventivních programů dojde k výraznějšímu poklesu (o 12,8 %), u ozdravných pobytů a ostatní činnosti naopak k výraznějšímu nárůstu – o 66,7 % resp. o 29,0</w:t>
      </w:r>
      <w:r w:rsidR="002B6573" w:rsidRPr="001D032A">
        <w:rPr>
          <w:sz w:val="24"/>
          <w:szCs w:val="24"/>
        </w:rPr>
        <w:t xml:space="preserve"> </w:t>
      </w:r>
      <w:r w:rsidRPr="001D032A">
        <w:rPr>
          <w:sz w:val="24"/>
          <w:szCs w:val="24"/>
        </w:rPr>
        <w:t>%.</w:t>
      </w:r>
    </w:p>
    <w:p w:rsidR="003E1B90" w:rsidRPr="001D032A" w:rsidRDefault="003E1B90" w:rsidP="00AD2F7E">
      <w:pPr>
        <w:pStyle w:val="Nadpis3"/>
      </w:pPr>
      <w:bookmarkStart w:id="76" w:name="_Toc525944164"/>
      <w:r w:rsidRPr="001D032A">
        <w:t>Tabulka 6: Náklady na preventivní zdravotní péči čerpané z fondu prevence</w:t>
      </w:r>
      <w:bookmarkEnd w:id="75"/>
      <w:bookmarkEnd w:id="76"/>
    </w:p>
    <w:tbl>
      <w:tblPr>
        <w:tblStyle w:val="Tabulkasmkou4zvraznn1"/>
        <w:tblW w:w="9062" w:type="dxa"/>
        <w:jc w:val="center"/>
        <w:tblLayout w:type="fixed"/>
        <w:tblLook w:val="04A0" w:firstRow="1" w:lastRow="0" w:firstColumn="1" w:lastColumn="0" w:noHBand="0" w:noVBand="1"/>
      </w:tblPr>
      <w:tblGrid>
        <w:gridCol w:w="2488"/>
        <w:gridCol w:w="938"/>
        <w:gridCol w:w="939"/>
        <w:gridCol w:w="939"/>
        <w:gridCol w:w="939"/>
        <w:gridCol w:w="939"/>
        <w:gridCol w:w="940"/>
        <w:gridCol w:w="940"/>
      </w:tblGrid>
      <w:tr w:rsidR="003C0A91" w:rsidRPr="001D032A" w:rsidTr="003C0A91">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488" w:type="dxa"/>
            <w:vAlign w:val="center"/>
          </w:tcPr>
          <w:p w:rsidR="003C0A91" w:rsidRPr="001D032A" w:rsidRDefault="003C0A91" w:rsidP="003C0A91">
            <w:pPr>
              <w:jc w:val="center"/>
              <w:rPr>
                <w:rFonts w:ascii="Calibri" w:hAnsi="Calibri"/>
                <w:bCs w:val="0"/>
                <w:color w:val="FFFFFF"/>
              </w:rPr>
            </w:pPr>
            <w:r w:rsidRPr="001D032A">
              <w:rPr>
                <w:rFonts w:ascii="Calibri" w:hAnsi="Calibri"/>
                <w:bCs w:val="0"/>
                <w:color w:val="FFFFFF"/>
              </w:rPr>
              <w:t>Ukazatel</w:t>
            </w:r>
          </w:p>
          <w:p w:rsidR="003C0A91" w:rsidRPr="001D032A" w:rsidRDefault="003C0A91" w:rsidP="003C0A91">
            <w:pPr>
              <w:jc w:val="center"/>
              <w:rPr>
                <w:rFonts w:ascii="Calibri" w:hAnsi="Calibri"/>
                <w:bCs w:val="0"/>
                <w:color w:val="FFFFFF"/>
              </w:rPr>
            </w:pPr>
            <w:r w:rsidRPr="001D032A">
              <w:rPr>
                <w:rFonts w:ascii="Calibri" w:hAnsi="Calibri"/>
                <w:bCs w:val="0"/>
                <w:color w:val="FFFFFF"/>
              </w:rPr>
              <w:t xml:space="preserve">(v </w:t>
            </w:r>
            <w:r w:rsidR="00A1405A" w:rsidRPr="001D032A">
              <w:rPr>
                <w:rFonts w:ascii="Calibri" w:hAnsi="Calibri"/>
                <w:bCs w:val="0"/>
                <w:color w:val="FFFFFF"/>
              </w:rPr>
              <w:t>mil</w:t>
            </w:r>
            <w:r w:rsidR="001D032A" w:rsidRPr="001D032A">
              <w:rPr>
                <w:rFonts w:ascii="Calibri" w:hAnsi="Calibri"/>
                <w:bCs w:val="0"/>
                <w:color w:val="FFFFFF"/>
              </w:rPr>
              <w:t>.</w:t>
            </w:r>
            <w:r w:rsidRPr="001D032A">
              <w:rPr>
                <w:rFonts w:ascii="Calibri" w:hAnsi="Calibri"/>
                <w:bCs w:val="0"/>
                <w:color w:val="FFFFFF"/>
              </w:rPr>
              <w:t xml:space="preserve"> Kč)</w:t>
            </w:r>
          </w:p>
        </w:tc>
        <w:tc>
          <w:tcPr>
            <w:tcW w:w="938"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2012</w:t>
            </w:r>
          </w:p>
        </w:tc>
        <w:tc>
          <w:tcPr>
            <w:tcW w:w="939"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2013</w:t>
            </w:r>
          </w:p>
        </w:tc>
        <w:tc>
          <w:tcPr>
            <w:tcW w:w="939"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2014</w:t>
            </w:r>
          </w:p>
        </w:tc>
        <w:tc>
          <w:tcPr>
            <w:tcW w:w="939"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2015</w:t>
            </w:r>
          </w:p>
        </w:tc>
        <w:tc>
          <w:tcPr>
            <w:tcW w:w="939"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2016</w:t>
            </w:r>
          </w:p>
        </w:tc>
        <w:tc>
          <w:tcPr>
            <w:tcW w:w="940"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2017*</w:t>
            </w:r>
          </w:p>
        </w:tc>
        <w:tc>
          <w:tcPr>
            <w:tcW w:w="940" w:type="dxa"/>
            <w:vAlign w:val="center"/>
          </w:tcPr>
          <w:p w:rsidR="003C0A91" w:rsidRPr="001D032A" w:rsidRDefault="003C0A91" w:rsidP="003C0A9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2018**</w:t>
            </w:r>
          </w:p>
        </w:tc>
      </w:tr>
      <w:tr w:rsidR="003C0A91" w:rsidRPr="001D032A" w:rsidTr="003C0A91">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488" w:type="dxa"/>
            <w:vAlign w:val="center"/>
          </w:tcPr>
          <w:p w:rsidR="003C0A91" w:rsidRPr="001D032A" w:rsidRDefault="003C0A91" w:rsidP="003C0A91">
            <w:pPr>
              <w:rPr>
                <w:rFonts w:ascii="Calibri" w:hAnsi="Calibri"/>
                <w:b w:val="0"/>
                <w:bCs w:val="0"/>
                <w:sz w:val="20"/>
                <w:szCs w:val="20"/>
              </w:rPr>
            </w:pPr>
            <w:r w:rsidRPr="001D032A">
              <w:rPr>
                <w:rFonts w:ascii="Calibri" w:hAnsi="Calibri"/>
                <w:b w:val="0"/>
                <w:bCs w:val="0"/>
                <w:sz w:val="20"/>
                <w:szCs w:val="20"/>
              </w:rPr>
              <w:t>Náklady na zdravotní programy</w:t>
            </w:r>
          </w:p>
        </w:tc>
        <w:tc>
          <w:tcPr>
            <w:tcW w:w="938"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257</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455</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rPr>
                <w:color w:val="000000"/>
              </w:rPr>
            </w:pPr>
            <w:r w:rsidRPr="001D032A">
              <w:rPr>
                <w:color w:val="000000"/>
              </w:rPr>
              <w:t>324</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rPr>
                <w:color w:val="000000"/>
              </w:rPr>
            </w:pPr>
            <w:r w:rsidRPr="001D032A">
              <w:rPr>
                <w:color w:val="000000"/>
              </w:rPr>
              <w:t>251</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408</w:t>
            </w:r>
          </w:p>
        </w:tc>
        <w:tc>
          <w:tcPr>
            <w:tcW w:w="940"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393</w:t>
            </w:r>
          </w:p>
        </w:tc>
        <w:tc>
          <w:tcPr>
            <w:tcW w:w="940"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343</w:t>
            </w:r>
          </w:p>
        </w:tc>
      </w:tr>
      <w:tr w:rsidR="003C0A91" w:rsidRPr="001D032A" w:rsidTr="003C0A91">
        <w:trPr>
          <w:trHeight w:val="586"/>
          <w:jc w:val="center"/>
        </w:trPr>
        <w:tc>
          <w:tcPr>
            <w:cnfStyle w:val="001000000000" w:firstRow="0" w:lastRow="0" w:firstColumn="1" w:lastColumn="0" w:oddVBand="0" w:evenVBand="0" w:oddHBand="0" w:evenHBand="0" w:firstRowFirstColumn="0" w:firstRowLastColumn="0" w:lastRowFirstColumn="0" w:lastRowLastColumn="0"/>
            <w:tcW w:w="2488" w:type="dxa"/>
            <w:vAlign w:val="center"/>
          </w:tcPr>
          <w:p w:rsidR="003C0A91" w:rsidRPr="001D032A" w:rsidRDefault="003C0A91" w:rsidP="003C0A91">
            <w:pPr>
              <w:rPr>
                <w:rFonts w:ascii="Calibri" w:hAnsi="Calibri"/>
                <w:b w:val="0"/>
                <w:bCs w:val="0"/>
                <w:sz w:val="20"/>
                <w:szCs w:val="20"/>
              </w:rPr>
            </w:pPr>
            <w:r w:rsidRPr="001D032A">
              <w:rPr>
                <w:rFonts w:ascii="Calibri" w:hAnsi="Calibri"/>
                <w:b w:val="0"/>
                <w:bCs w:val="0"/>
                <w:sz w:val="20"/>
                <w:szCs w:val="20"/>
              </w:rPr>
              <w:t>Náklady na ozdravné pobyty</w:t>
            </w:r>
          </w:p>
        </w:tc>
        <w:tc>
          <w:tcPr>
            <w:tcW w:w="938"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pPr>
            <w:r w:rsidRPr="001D032A">
              <w:t>89</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pPr>
            <w:r w:rsidRPr="001D032A">
              <w:t>90</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color w:val="000000"/>
              </w:rPr>
            </w:pPr>
            <w:r w:rsidRPr="001D032A">
              <w:rPr>
                <w:color w:val="000000"/>
              </w:rPr>
              <w:t>39</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color w:val="000000"/>
              </w:rPr>
            </w:pPr>
            <w:r w:rsidRPr="001D032A">
              <w:rPr>
                <w:color w:val="000000"/>
              </w:rPr>
              <w:t>38</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pPr>
            <w:r w:rsidRPr="001D032A">
              <w:t>40</w:t>
            </w:r>
          </w:p>
        </w:tc>
        <w:tc>
          <w:tcPr>
            <w:tcW w:w="940"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pPr>
            <w:r w:rsidRPr="001D032A">
              <w:t>60</w:t>
            </w:r>
          </w:p>
        </w:tc>
        <w:tc>
          <w:tcPr>
            <w:tcW w:w="940"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pPr>
            <w:r w:rsidRPr="001D032A">
              <w:t>100</w:t>
            </w:r>
          </w:p>
        </w:tc>
      </w:tr>
      <w:tr w:rsidR="003C0A91" w:rsidRPr="001D032A" w:rsidTr="003C0A91">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488" w:type="dxa"/>
            <w:vAlign w:val="center"/>
          </w:tcPr>
          <w:p w:rsidR="003C0A91" w:rsidRPr="001D032A" w:rsidRDefault="003C0A91" w:rsidP="003C0A91">
            <w:pPr>
              <w:rPr>
                <w:rFonts w:ascii="Calibri" w:hAnsi="Calibri"/>
                <w:b w:val="0"/>
                <w:bCs w:val="0"/>
                <w:sz w:val="20"/>
                <w:szCs w:val="20"/>
              </w:rPr>
            </w:pPr>
            <w:r w:rsidRPr="001D032A">
              <w:rPr>
                <w:rFonts w:ascii="Calibri" w:hAnsi="Calibri"/>
                <w:b w:val="0"/>
                <w:bCs w:val="0"/>
                <w:sz w:val="20"/>
                <w:szCs w:val="20"/>
              </w:rPr>
              <w:t>Ostatní činnosti</w:t>
            </w:r>
          </w:p>
        </w:tc>
        <w:tc>
          <w:tcPr>
            <w:tcW w:w="938"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81</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73</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rPr>
                <w:color w:val="000000"/>
              </w:rPr>
            </w:pPr>
            <w:r w:rsidRPr="001D032A">
              <w:rPr>
                <w:color w:val="000000"/>
              </w:rPr>
              <w:t>21</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rPr>
                <w:color w:val="000000"/>
              </w:rPr>
            </w:pPr>
            <w:r w:rsidRPr="001D032A">
              <w:rPr>
                <w:color w:val="000000"/>
              </w:rPr>
              <w:t>56</w:t>
            </w:r>
          </w:p>
        </w:tc>
        <w:tc>
          <w:tcPr>
            <w:tcW w:w="939"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104</w:t>
            </w:r>
          </w:p>
        </w:tc>
        <w:tc>
          <w:tcPr>
            <w:tcW w:w="940"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62</w:t>
            </w:r>
          </w:p>
        </w:tc>
        <w:tc>
          <w:tcPr>
            <w:tcW w:w="940" w:type="dxa"/>
            <w:vAlign w:val="center"/>
          </w:tcPr>
          <w:p w:rsidR="003C0A91" w:rsidRPr="001D032A" w:rsidRDefault="003C0A91" w:rsidP="003C0A91">
            <w:pPr>
              <w:jc w:val="center"/>
              <w:cnfStyle w:val="000000100000" w:firstRow="0" w:lastRow="0" w:firstColumn="0" w:lastColumn="0" w:oddVBand="0" w:evenVBand="0" w:oddHBand="1" w:evenHBand="0" w:firstRowFirstColumn="0" w:firstRowLastColumn="0" w:lastRowFirstColumn="0" w:lastRowLastColumn="0"/>
            </w:pPr>
            <w:r w:rsidRPr="001D032A">
              <w:t>80</w:t>
            </w:r>
          </w:p>
        </w:tc>
      </w:tr>
      <w:tr w:rsidR="003C0A91" w:rsidRPr="001D032A" w:rsidTr="003C0A91">
        <w:trPr>
          <w:trHeight w:val="586"/>
          <w:jc w:val="center"/>
        </w:trPr>
        <w:tc>
          <w:tcPr>
            <w:cnfStyle w:val="001000000000" w:firstRow="0" w:lastRow="0" w:firstColumn="1" w:lastColumn="0" w:oddVBand="0" w:evenVBand="0" w:oddHBand="0" w:evenHBand="0" w:firstRowFirstColumn="0" w:firstRowLastColumn="0" w:lastRowFirstColumn="0" w:lastRowLastColumn="0"/>
            <w:tcW w:w="2488" w:type="dxa"/>
            <w:vAlign w:val="center"/>
          </w:tcPr>
          <w:p w:rsidR="003C0A91" w:rsidRPr="001D032A" w:rsidRDefault="003C0A91" w:rsidP="003C0A91">
            <w:pPr>
              <w:rPr>
                <w:rFonts w:ascii="Calibri" w:hAnsi="Calibri"/>
                <w:b w:val="0"/>
                <w:bCs w:val="0"/>
                <w:sz w:val="20"/>
                <w:szCs w:val="20"/>
              </w:rPr>
            </w:pPr>
            <w:r w:rsidRPr="001D032A">
              <w:rPr>
                <w:rFonts w:ascii="Calibri" w:hAnsi="Calibri"/>
                <w:b w:val="0"/>
                <w:bCs w:val="0"/>
                <w:sz w:val="20"/>
                <w:szCs w:val="20"/>
              </w:rPr>
              <w:t>Celkové náklady na preventivní zdravotní péči</w:t>
            </w:r>
          </w:p>
        </w:tc>
        <w:tc>
          <w:tcPr>
            <w:tcW w:w="938"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rPr>
            </w:pPr>
            <w:r w:rsidRPr="001D032A">
              <w:rPr>
                <w:b/>
                <w:bCs/>
              </w:rPr>
              <w:t>427</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rPr>
            </w:pPr>
            <w:r w:rsidRPr="001D032A">
              <w:rPr>
                <w:b/>
                <w:bCs/>
              </w:rPr>
              <w:t>618</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D032A">
              <w:rPr>
                <w:b/>
                <w:bCs/>
                <w:color w:val="000000"/>
              </w:rPr>
              <w:t>384</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D032A">
              <w:rPr>
                <w:b/>
                <w:bCs/>
                <w:color w:val="000000"/>
              </w:rPr>
              <w:t>344</w:t>
            </w:r>
          </w:p>
        </w:tc>
        <w:tc>
          <w:tcPr>
            <w:tcW w:w="939"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D032A">
              <w:rPr>
                <w:b/>
                <w:bCs/>
                <w:color w:val="000000"/>
              </w:rPr>
              <w:t>552</w:t>
            </w:r>
          </w:p>
        </w:tc>
        <w:tc>
          <w:tcPr>
            <w:tcW w:w="940"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D032A">
              <w:rPr>
                <w:b/>
                <w:bCs/>
                <w:color w:val="000000"/>
              </w:rPr>
              <w:t>515</w:t>
            </w:r>
          </w:p>
        </w:tc>
        <w:tc>
          <w:tcPr>
            <w:tcW w:w="940" w:type="dxa"/>
            <w:vAlign w:val="center"/>
          </w:tcPr>
          <w:p w:rsidR="003C0A91" w:rsidRPr="001D032A" w:rsidRDefault="003C0A91" w:rsidP="003C0A91">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D032A">
              <w:rPr>
                <w:b/>
                <w:bCs/>
                <w:color w:val="000000"/>
              </w:rPr>
              <w:t>523</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AD2F7E">
      <w:pPr>
        <w:pStyle w:val="Nadpis3"/>
        <w:jc w:val="center"/>
      </w:pPr>
      <w:bookmarkStart w:id="77" w:name="_Toc491000245"/>
      <w:bookmarkStart w:id="78" w:name="_Toc525944165"/>
      <w:r w:rsidRPr="001D032A">
        <w:t>Zdroj: Ministerstvo zdravotnictví ČR</w:t>
      </w:r>
      <w:bookmarkEnd w:id="77"/>
      <w:bookmarkEnd w:id="78"/>
    </w:p>
    <w:p w:rsidR="00AD2F7E" w:rsidRPr="001D032A" w:rsidRDefault="00AD2F7E" w:rsidP="00AD2F7E"/>
    <w:p w:rsidR="003E1B90" w:rsidRPr="001D032A" w:rsidRDefault="003E1B90" w:rsidP="003E1B90">
      <w:pPr>
        <w:pStyle w:val="Nadpis3"/>
      </w:pPr>
      <w:bookmarkStart w:id="79" w:name="_Toc460456843"/>
      <w:bookmarkStart w:id="80" w:name="_Toc491000246"/>
      <w:bookmarkStart w:id="81" w:name="_Toc525944166"/>
      <w:r w:rsidRPr="001D032A">
        <w:t>Závěr</w:t>
      </w:r>
      <w:bookmarkEnd w:id="79"/>
      <w:bookmarkEnd w:id="80"/>
      <w:bookmarkEnd w:id="81"/>
    </w:p>
    <w:p w:rsidR="003C0A91" w:rsidRPr="001D032A" w:rsidRDefault="003C0A91" w:rsidP="003C0A91">
      <w:pPr>
        <w:jc w:val="both"/>
        <w:rPr>
          <w:sz w:val="24"/>
          <w:szCs w:val="24"/>
        </w:rPr>
      </w:pPr>
      <w:r w:rsidRPr="001D032A">
        <w:rPr>
          <w:sz w:val="24"/>
          <w:szCs w:val="24"/>
        </w:rPr>
        <w:t>Ministerstvo zdravotnictví ověřilo soulad plánovaných nákladů na jednotlivé segmenty s modelovaným dopadem úhradové vyhlášky na rok 2018. V případě VZP ČR lze konstatovat, že struktura nákladů dle segmentů umožňuje naplnění cílů úhradové vyhlášky pro rok 2018 v případě jejího dodržení. Na příjmové i nákladové straně existuje shoda mezi ZPP a odhady MZ, což znamená, že VZP ČR bude v roce 2018 hospodařit mírně přebytkové.</w:t>
      </w:r>
    </w:p>
    <w:p w:rsidR="00AD2F7E" w:rsidRPr="001D032A" w:rsidRDefault="00AD2F7E" w:rsidP="00AD2F7E">
      <w:pPr>
        <w:pStyle w:val="Nadpis2"/>
      </w:pPr>
    </w:p>
    <w:p w:rsidR="003E1B90" w:rsidRPr="001D032A" w:rsidRDefault="005A1CC4" w:rsidP="00AD2F7E">
      <w:pPr>
        <w:pStyle w:val="Nadpis2"/>
      </w:pPr>
      <w:hyperlink r:id="rId20" w:history="1">
        <w:bookmarkStart w:id="82" w:name="_Toc460456844"/>
        <w:bookmarkStart w:id="83" w:name="_Toc525944502"/>
        <w:r w:rsidR="003E1B90" w:rsidRPr="001D032A">
          <w:rPr>
            <w:rStyle w:val="Hypertextovodkaz"/>
            <w:color w:val="7B230B" w:themeColor="accent1" w:themeShade="BF"/>
            <w:u w:val="none"/>
          </w:rPr>
          <w:t>Vojenská zdravotní pojišťovna ČR</w:t>
        </w:r>
      </w:hyperlink>
      <w:r w:rsidR="003E1B90" w:rsidRPr="001D032A">
        <w:t xml:space="preserve"> (VoZP ČR)</w:t>
      </w:r>
      <w:bookmarkEnd w:id="82"/>
      <w:bookmarkEnd w:id="83"/>
    </w:p>
    <w:p w:rsidR="003E1B90" w:rsidRPr="001D032A" w:rsidRDefault="003E1B90" w:rsidP="00AD2F7E">
      <w:pPr>
        <w:pStyle w:val="Nadpis3"/>
      </w:pPr>
      <w:bookmarkStart w:id="84" w:name="_Toc460456845"/>
      <w:bookmarkStart w:id="85" w:name="_Toc491000247"/>
      <w:bookmarkStart w:id="86" w:name="_Toc525944167"/>
      <w:r w:rsidRPr="001D032A">
        <w:t>Hodnocení ekonomické</w:t>
      </w:r>
      <w:bookmarkEnd w:id="84"/>
      <w:bookmarkEnd w:id="85"/>
      <w:bookmarkEnd w:id="86"/>
    </w:p>
    <w:p w:rsidR="008016CD" w:rsidRPr="001D032A" w:rsidRDefault="003B4DB0" w:rsidP="008016CD">
      <w:pPr>
        <w:jc w:val="both"/>
        <w:rPr>
          <w:sz w:val="24"/>
          <w:szCs w:val="24"/>
        </w:rPr>
      </w:pPr>
      <w:r w:rsidRPr="001D032A">
        <w:rPr>
          <w:sz w:val="24"/>
          <w:szCs w:val="24"/>
        </w:rPr>
        <w:t>VoZP ČR plánuje meziročně velmi mírné navýšení průměrného počtu pojištěnců o 0,</w:t>
      </w:r>
      <w:r w:rsidR="008016CD" w:rsidRPr="001D032A">
        <w:rPr>
          <w:sz w:val="24"/>
          <w:szCs w:val="24"/>
        </w:rPr>
        <w:t>3</w:t>
      </w:r>
      <w:r w:rsidRPr="001D032A">
        <w:rPr>
          <w:sz w:val="24"/>
          <w:szCs w:val="24"/>
        </w:rPr>
        <w:t> % na celkových 700 </w:t>
      </w:r>
      <w:r w:rsidR="008016CD" w:rsidRPr="001D032A">
        <w:rPr>
          <w:sz w:val="24"/>
          <w:szCs w:val="24"/>
        </w:rPr>
        <w:t>0</w:t>
      </w:r>
      <w:r w:rsidRPr="001D032A">
        <w:rPr>
          <w:sz w:val="24"/>
          <w:szCs w:val="24"/>
        </w:rPr>
        <w:t xml:space="preserve">00. </w:t>
      </w:r>
      <w:bookmarkStart w:id="87" w:name="_Toc460455303"/>
      <w:r w:rsidR="008016CD" w:rsidRPr="001D032A">
        <w:rPr>
          <w:sz w:val="24"/>
          <w:szCs w:val="24"/>
        </w:rPr>
        <w:t xml:space="preserve">Pojišťovna očekává posilování stavů Armády České republiky (AČR) a nárůst počtu pojištěnců vlivem vzniku nových kontaktních míst a marketingové činnosti zaměstnanců pojišťovny. Obdobný meziroční nárůst pojišťovna plánuje u státem hrazených pojištěnců, kterých je z celkového počtu okolo 54 %. </w:t>
      </w:r>
    </w:p>
    <w:p w:rsidR="008016CD" w:rsidRPr="001D032A" w:rsidRDefault="008016CD" w:rsidP="008016CD">
      <w:pPr>
        <w:jc w:val="both"/>
        <w:rPr>
          <w:sz w:val="24"/>
          <w:szCs w:val="24"/>
        </w:rPr>
      </w:pPr>
      <w:r w:rsidRPr="001D032A">
        <w:rPr>
          <w:sz w:val="24"/>
          <w:szCs w:val="24"/>
        </w:rPr>
        <w:t xml:space="preserve">Dalším významným faktorem, ze kterého plán vychází, je předpokládaný výběr pojistného. Na základě celorepublikového růstu platů a mezd o 7,6 % a nízké nezaměstnanosti odhaduje VoZP ČR výši příjmů z pojistného na 16,21 mld. Kč, tj. 23 163 Kč na 1 pojištěnce. Příjmy po přerozdělování plánuje v objemu 18,7 mld. Kč, což odpovídá 26 716 Kč na pojištěnce s meziročním nárůstem 7,3 %. </w:t>
      </w:r>
    </w:p>
    <w:p w:rsidR="008016CD" w:rsidRPr="001D032A" w:rsidRDefault="008016CD" w:rsidP="008016CD">
      <w:pPr>
        <w:jc w:val="both"/>
        <w:rPr>
          <w:sz w:val="24"/>
          <w:szCs w:val="24"/>
        </w:rPr>
      </w:pPr>
      <w:r w:rsidRPr="001D032A">
        <w:rPr>
          <w:sz w:val="24"/>
          <w:szCs w:val="24"/>
        </w:rPr>
        <w:t xml:space="preserve">Výdaje na zdravotní služby ze ZFZP jsou plánovány ve výši 17,98 mld. Kč a v přepočtu na jednoho pojištěnce činí 25 697 Kč, tj. navýšení o 5,1 %. Saldo příjmů a výdajů celkem je </w:t>
      </w:r>
      <w:r w:rsidRPr="001D032A">
        <w:rPr>
          <w:sz w:val="24"/>
          <w:szCs w:val="24"/>
        </w:rPr>
        <w:lastRenderedPageBreak/>
        <w:t>plánováno kladné ve výši 51 mil., což je oproti očekávané skutečnosti roku 2017 zlepšení o 205</w:t>
      </w:r>
      <w:r w:rsidR="00EE4847">
        <w:rPr>
          <w:sz w:val="24"/>
          <w:szCs w:val="24"/>
        </w:rPr>
        <w:t> </w:t>
      </w:r>
      <w:r w:rsidRPr="001D032A">
        <w:rPr>
          <w:sz w:val="24"/>
          <w:szCs w:val="24"/>
        </w:rPr>
        <w:t>mil. Kč. Zůstatky na BÚ celkem se oproti očekávané skutečnosti roku 2017 navyšují o 5,6</w:t>
      </w:r>
      <w:r w:rsidR="00EE4847">
        <w:rPr>
          <w:sz w:val="24"/>
          <w:szCs w:val="24"/>
        </w:rPr>
        <w:t> </w:t>
      </w:r>
      <w:r w:rsidRPr="001D032A">
        <w:rPr>
          <w:sz w:val="24"/>
          <w:szCs w:val="24"/>
        </w:rPr>
        <w:t xml:space="preserve">% na celkových 959 mil. Kč. </w:t>
      </w:r>
    </w:p>
    <w:p w:rsidR="008016CD" w:rsidRPr="001D032A" w:rsidRDefault="008016CD" w:rsidP="008016CD">
      <w:pPr>
        <w:jc w:val="both"/>
        <w:rPr>
          <w:sz w:val="24"/>
          <w:szCs w:val="24"/>
        </w:rPr>
      </w:pPr>
      <w:r w:rsidRPr="001D032A">
        <w:rPr>
          <w:sz w:val="24"/>
          <w:szCs w:val="24"/>
        </w:rPr>
        <w:t>Výdaje na preventivní programy se plánují téměř zdvojnásobit. Dosáhnou podle plánu 140</w:t>
      </w:r>
      <w:r w:rsidR="00EE4847">
        <w:rPr>
          <w:sz w:val="24"/>
          <w:szCs w:val="24"/>
        </w:rPr>
        <w:t> </w:t>
      </w:r>
      <w:r w:rsidRPr="001D032A">
        <w:rPr>
          <w:sz w:val="24"/>
          <w:szCs w:val="24"/>
        </w:rPr>
        <w:t>mil.</w:t>
      </w:r>
      <w:r w:rsidR="00EE4847">
        <w:rPr>
          <w:sz w:val="24"/>
          <w:szCs w:val="24"/>
        </w:rPr>
        <w:t> </w:t>
      </w:r>
      <w:r w:rsidRPr="001D032A">
        <w:rPr>
          <w:sz w:val="24"/>
          <w:szCs w:val="24"/>
        </w:rPr>
        <w:t xml:space="preserve">Kč. Nárůst je plánován z důvodu posílení programů Fprev a především větší propagace těchto programů směrem k pojištěncům. </w:t>
      </w:r>
    </w:p>
    <w:p w:rsidR="008016CD" w:rsidRPr="001D032A" w:rsidRDefault="008016CD" w:rsidP="008016CD">
      <w:pPr>
        <w:jc w:val="both"/>
        <w:rPr>
          <w:sz w:val="24"/>
          <w:szCs w:val="24"/>
        </w:rPr>
      </w:pPr>
      <w:r w:rsidRPr="001D032A">
        <w:rPr>
          <w:sz w:val="24"/>
          <w:szCs w:val="24"/>
        </w:rPr>
        <w:t xml:space="preserve">VoZP ČR bude jako každý rok zabezpečovat správu dvou specifických fondů. Fond pro úhradu preventivní péče (FPÚPP) slouží ke zprostředkování úhrady preventivní péče pro vojáky v činné službě. Je tvořen převodem ze státního rozpočtu prostřednictvím kapitoly Ministerstva obrany (MO) ve výši 8,5 mil. Kč, což je oproti roku 2017 navýšení o 54,5 %. Výdaje se pro rok 2018 navyšují mírně o 0,5 %. Provozní výdaje související s činnostmi spojenými s tímto fondem se meziročně nemění a jsou ve výši 0,67 mil. Kč. </w:t>
      </w:r>
    </w:p>
    <w:p w:rsidR="008016CD" w:rsidRPr="001D032A" w:rsidRDefault="008016CD" w:rsidP="008016CD">
      <w:pPr>
        <w:jc w:val="both"/>
        <w:rPr>
          <w:sz w:val="24"/>
          <w:szCs w:val="24"/>
        </w:rPr>
      </w:pPr>
      <w:r w:rsidRPr="001D032A">
        <w:rPr>
          <w:sz w:val="24"/>
          <w:szCs w:val="24"/>
        </w:rPr>
        <w:t>Fond pro zprostředkování úhrady zdravotní péče (FZÚZP) slouží ke zprostředkování úhrady zdravotní péče pro vojáky v činné službě. V roce 2018 bude tvořen příjmy ve výši ve výši 6,5</w:t>
      </w:r>
      <w:r w:rsidR="00EE4847">
        <w:rPr>
          <w:sz w:val="24"/>
          <w:szCs w:val="24"/>
        </w:rPr>
        <w:t> </w:t>
      </w:r>
      <w:r w:rsidRPr="001D032A">
        <w:rPr>
          <w:sz w:val="24"/>
          <w:szCs w:val="24"/>
        </w:rPr>
        <w:t xml:space="preserve">mil. Kč z kapitoly MO, tj. o 62,5 % více než v roce 2017. Výdaje fondu poklesnou na 88,9 % tj. na 6 mil. Kč. Provozní výdaje zůstávají meziročně beze změn ve výši 0,67 mil. Kč. VoZP ČR počítá i nadále s programem pro válečné veterány ve spolupráci s AČR. </w:t>
      </w:r>
    </w:p>
    <w:p w:rsidR="008016CD" w:rsidRPr="001D032A" w:rsidRDefault="008016CD" w:rsidP="008016CD">
      <w:pPr>
        <w:jc w:val="both"/>
        <w:rPr>
          <w:sz w:val="24"/>
          <w:szCs w:val="24"/>
        </w:rPr>
      </w:pPr>
      <w:r w:rsidRPr="001D032A">
        <w:rPr>
          <w:sz w:val="24"/>
          <w:szCs w:val="24"/>
        </w:rPr>
        <w:t>Příděl do PF je plánován ve výši 3,06 % z vybraného pojistného po přerozdělování, náhrad škod, pokut, penále a přirážek k pojistnému. Kalkuluje se s</w:t>
      </w:r>
      <w:r w:rsidR="00EE4847">
        <w:rPr>
          <w:sz w:val="24"/>
          <w:szCs w:val="24"/>
        </w:rPr>
        <w:t> </w:t>
      </w:r>
      <w:r w:rsidRPr="001D032A">
        <w:rPr>
          <w:sz w:val="24"/>
          <w:szCs w:val="24"/>
        </w:rPr>
        <w:t>max</w:t>
      </w:r>
      <w:r w:rsidR="00EE4847">
        <w:rPr>
          <w:sz w:val="24"/>
          <w:szCs w:val="24"/>
        </w:rPr>
        <w:t>.</w:t>
      </w:r>
      <w:r w:rsidRPr="001D032A">
        <w:rPr>
          <w:sz w:val="24"/>
          <w:szCs w:val="24"/>
        </w:rPr>
        <w:t xml:space="preserve"> limitem ve výši 576</w:t>
      </w:r>
      <w:r w:rsidR="00EE4847">
        <w:rPr>
          <w:sz w:val="24"/>
          <w:szCs w:val="24"/>
        </w:rPr>
        <w:t> </w:t>
      </w:r>
      <w:r w:rsidRPr="001D032A">
        <w:rPr>
          <w:sz w:val="24"/>
          <w:szCs w:val="24"/>
        </w:rPr>
        <w:t>mil. Kč a skutečný příděl se plánuje uskutečnit ve výši 560 mil. Kč. Úspora bude ponechána na ZFZP k úhradám zdravotní péče.</w:t>
      </w:r>
      <w:r w:rsidR="00A1405A" w:rsidRPr="001D032A">
        <w:rPr>
          <w:sz w:val="24"/>
          <w:szCs w:val="24"/>
        </w:rPr>
        <w:t xml:space="preserve"> </w:t>
      </w:r>
      <w:r w:rsidRPr="001D032A">
        <w:rPr>
          <w:sz w:val="24"/>
          <w:szCs w:val="24"/>
        </w:rPr>
        <w:t>Největší investice se plánují v oblasti IT, a to ve výši 69 mil.</w:t>
      </w:r>
      <w:r w:rsidR="00A1405A" w:rsidRPr="001D032A">
        <w:rPr>
          <w:sz w:val="24"/>
          <w:szCs w:val="24"/>
        </w:rPr>
        <w:t> </w:t>
      </w:r>
      <w:r w:rsidRPr="001D032A">
        <w:rPr>
          <w:sz w:val="24"/>
          <w:szCs w:val="24"/>
        </w:rPr>
        <w:t xml:space="preserve">Kč. </w:t>
      </w:r>
    </w:p>
    <w:p w:rsidR="00503A74" w:rsidRPr="001D032A" w:rsidRDefault="00503A74" w:rsidP="008016CD">
      <w:pPr>
        <w:jc w:val="both"/>
        <w:rPr>
          <w:sz w:val="24"/>
          <w:szCs w:val="24"/>
        </w:rPr>
      </w:pPr>
    </w:p>
    <w:p w:rsidR="003E1B90" w:rsidRPr="001D032A" w:rsidRDefault="003E1B90" w:rsidP="00503A74">
      <w:pPr>
        <w:pStyle w:val="Nadpis3"/>
      </w:pPr>
      <w:bookmarkStart w:id="88" w:name="_Toc525944168"/>
      <w:r w:rsidRPr="001D032A">
        <w:t>Graf 4: Příjmy a výdaje VoZP ČR</w:t>
      </w:r>
      <w:bookmarkEnd w:id="87"/>
      <w:r w:rsidR="00A1405A" w:rsidRPr="001D032A">
        <w:t xml:space="preserve"> v</w:t>
      </w:r>
      <w:r w:rsidR="009A093B" w:rsidRPr="001D032A">
        <w:t> </w:t>
      </w:r>
      <w:r w:rsidR="00A1405A" w:rsidRPr="001D032A">
        <w:t>milionech</w:t>
      </w:r>
      <w:r w:rsidR="009A093B" w:rsidRPr="001D032A">
        <w:t xml:space="preserve"> Kč</w:t>
      </w:r>
      <w:bookmarkEnd w:id="88"/>
    </w:p>
    <w:p w:rsidR="00503A74" w:rsidRPr="001D032A" w:rsidRDefault="00A1405A" w:rsidP="00503A74">
      <w:r w:rsidRPr="001D032A">
        <w:rPr>
          <w:noProof/>
          <w:lang w:eastAsia="cs-CZ"/>
        </w:rPr>
        <w:drawing>
          <wp:inline distT="0" distB="0" distL="0" distR="0" wp14:anchorId="14A6CCE1" wp14:editId="5E0E8F74">
            <wp:extent cx="5737860" cy="2743200"/>
            <wp:effectExtent l="0" t="0" r="15240" b="0"/>
            <wp:docPr id="11" name="Graf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918206-8196-4840-81BC-11894CC4A1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405A" w:rsidRPr="001D032A" w:rsidRDefault="00A1405A" w:rsidP="00A1405A">
      <w:pPr>
        <w:pStyle w:val="Bezmezer"/>
        <w:rPr>
          <w:sz w:val="20"/>
          <w:szCs w:val="20"/>
        </w:rPr>
      </w:pPr>
      <w:r w:rsidRPr="001D032A">
        <w:rPr>
          <w:sz w:val="20"/>
          <w:szCs w:val="20"/>
        </w:rPr>
        <w:t>* očekávaná skutečnost</w:t>
      </w:r>
    </w:p>
    <w:p w:rsidR="00A1405A" w:rsidRPr="001D032A" w:rsidRDefault="00A1405A" w:rsidP="00A1405A">
      <w:pPr>
        <w:pStyle w:val="Bezmezer"/>
        <w:rPr>
          <w:sz w:val="20"/>
          <w:szCs w:val="20"/>
        </w:rPr>
      </w:pPr>
      <w:r w:rsidRPr="001D032A">
        <w:rPr>
          <w:sz w:val="20"/>
          <w:szCs w:val="20"/>
        </w:rPr>
        <w:t xml:space="preserve">** převzato ze zdravotních pojistných plánů </w:t>
      </w:r>
    </w:p>
    <w:p w:rsidR="003E1B90" w:rsidRPr="001D032A" w:rsidRDefault="003E1B90" w:rsidP="003A153C">
      <w:pPr>
        <w:pStyle w:val="Nadpis3"/>
        <w:jc w:val="center"/>
      </w:pPr>
      <w:bookmarkStart w:id="89" w:name="_Toc491000249"/>
      <w:bookmarkStart w:id="90" w:name="_Toc525944169"/>
      <w:r w:rsidRPr="001D032A">
        <w:t>Zdroj: Ministerstvo zdravotnictví ČR</w:t>
      </w:r>
      <w:bookmarkEnd w:id="89"/>
      <w:bookmarkEnd w:id="90"/>
    </w:p>
    <w:p w:rsidR="003A153C" w:rsidRPr="001D032A" w:rsidRDefault="003A153C" w:rsidP="003A153C"/>
    <w:p w:rsidR="003E1B90" w:rsidRPr="001D032A" w:rsidRDefault="003E1B90" w:rsidP="003E1B90">
      <w:pPr>
        <w:pStyle w:val="Nadpis3"/>
      </w:pPr>
      <w:bookmarkStart w:id="91" w:name="_Toc460456846"/>
      <w:bookmarkStart w:id="92" w:name="_Toc491000250"/>
      <w:bookmarkStart w:id="93" w:name="_Toc525944170"/>
      <w:r w:rsidRPr="001D032A">
        <w:lastRenderedPageBreak/>
        <w:t>Hodnocení zdravotní</w:t>
      </w:r>
      <w:bookmarkEnd w:id="91"/>
      <w:bookmarkEnd w:id="92"/>
      <w:bookmarkEnd w:id="93"/>
      <w:r w:rsidRPr="001D032A">
        <w:t xml:space="preserve"> </w:t>
      </w:r>
    </w:p>
    <w:p w:rsidR="00A1405A" w:rsidRPr="001D032A" w:rsidRDefault="00A1405A" w:rsidP="00A1405A">
      <w:pPr>
        <w:jc w:val="both"/>
        <w:rPr>
          <w:sz w:val="24"/>
          <w:szCs w:val="24"/>
        </w:rPr>
      </w:pPr>
      <w:bookmarkStart w:id="94" w:name="_Toc460455304"/>
      <w:r w:rsidRPr="001D032A">
        <w:rPr>
          <w:sz w:val="24"/>
          <w:szCs w:val="24"/>
        </w:rPr>
        <w:t>VoZP ČR je ZP s celostátní působností a k zajištění optimální míry, geografické, medicínské, časové a dopravní dostupnosti zdravotních služeb má vytvořenu síť PZS na celém území ČR včetně vojenského zdravotnictví (jako jsou spádová vojenská zdravotnická zařízení konstituována do Center zdravotních služeb, nemocnic a rehabilitačních i lázeňských zařízení).</w:t>
      </w:r>
    </w:p>
    <w:p w:rsidR="00A1405A" w:rsidRPr="001D032A" w:rsidRDefault="00A1405A" w:rsidP="00A1405A">
      <w:pPr>
        <w:jc w:val="both"/>
        <w:rPr>
          <w:sz w:val="24"/>
          <w:szCs w:val="24"/>
        </w:rPr>
      </w:pPr>
      <w:r w:rsidRPr="001D032A">
        <w:rPr>
          <w:sz w:val="24"/>
          <w:szCs w:val="24"/>
        </w:rPr>
        <w:t xml:space="preserve">V oblasti smluvní politiky nepředpokládá v roce 2018 žádné změny. Svoji síť smluvních poskytovatelů zdravotních služeb považuje v současné době za stabilizovanou, Smluvní vztahy bude přizpůsobovat v těch regionech, kde v důsledku přírůstku nových pojištěnců není dostatečně pokryto poskytování zdravotních služeb k zajištění optimální místní a časové dostupnosti. Přesto se v žádné oblasti v roce 2018 nepočítá s nárůstem počtu smluvních PZS. </w:t>
      </w:r>
    </w:p>
    <w:p w:rsidR="003E1B90" w:rsidRPr="001D032A" w:rsidRDefault="003E1B90" w:rsidP="003A153C">
      <w:pPr>
        <w:pStyle w:val="Nadpis3"/>
        <w:rPr>
          <w:highlight w:val="yellow"/>
        </w:rPr>
      </w:pPr>
      <w:bookmarkStart w:id="95" w:name="_Toc525944171"/>
      <w:r w:rsidRPr="001D032A">
        <w:t>Tabulka 7: Soustava smluvních poskytovatelů zdravotních služeb</w:t>
      </w:r>
      <w:bookmarkEnd w:id="94"/>
      <w:bookmarkEnd w:id="95"/>
    </w:p>
    <w:tbl>
      <w:tblPr>
        <w:tblStyle w:val="Tabulkasmkou4zvraznn1"/>
        <w:tblW w:w="9062" w:type="dxa"/>
        <w:tblLayout w:type="fixed"/>
        <w:tblLook w:val="04A0" w:firstRow="1" w:lastRow="0" w:firstColumn="1" w:lastColumn="0" w:noHBand="0" w:noVBand="1"/>
      </w:tblPr>
      <w:tblGrid>
        <w:gridCol w:w="2227"/>
        <w:gridCol w:w="977"/>
        <w:gridCol w:w="977"/>
        <w:gridCol w:w="977"/>
        <w:gridCol w:w="976"/>
        <w:gridCol w:w="976"/>
        <w:gridCol w:w="976"/>
        <w:gridCol w:w="976"/>
      </w:tblGrid>
      <w:tr w:rsidR="003A153C" w:rsidRPr="001D032A" w:rsidTr="003A153C">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3A153C" w:rsidRPr="001D032A" w:rsidRDefault="003A153C" w:rsidP="003E1B90">
            <w:pPr>
              <w:jc w:val="center"/>
              <w:rPr>
                <w:rFonts w:ascii="Calibri" w:hAnsi="Calibri"/>
                <w:bCs w:val="0"/>
                <w:color w:val="FFFFFF"/>
              </w:rPr>
            </w:pPr>
            <w:r w:rsidRPr="001D032A">
              <w:rPr>
                <w:rFonts w:ascii="Calibri" w:hAnsi="Calibri"/>
                <w:bCs w:val="0"/>
                <w:color w:val="FFFFFF"/>
              </w:rPr>
              <w:t>Kategorie</w:t>
            </w:r>
          </w:p>
          <w:p w:rsidR="003A153C" w:rsidRPr="001D032A" w:rsidRDefault="003A153C" w:rsidP="003E1B90">
            <w:pPr>
              <w:jc w:val="center"/>
              <w:rPr>
                <w:rFonts w:ascii="Calibri" w:hAnsi="Calibri"/>
                <w:bCs w:val="0"/>
                <w:color w:val="FFFFFF"/>
              </w:rPr>
            </w:pPr>
            <w:r w:rsidRPr="001D032A">
              <w:rPr>
                <w:rFonts w:ascii="Calibri" w:hAnsi="Calibri"/>
                <w:bCs w:val="0"/>
                <w:color w:val="FFFFFF"/>
              </w:rPr>
              <w:t>smluvních PZS</w:t>
            </w:r>
          </w:p>
        </w:tc>
        <w:tc>
          <w:tcPr>
            <w:tcW w:w="977"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2</w:t>
            </w:r>
          </w:p>
        </w:tc>
        <w:tc>
          <w:tcPr>
            <w:tcW w:w="977"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3</w:t>
            </w:r>
          </w:p>
        </w:tc>
        <w:tc>
          <w:tcPr>
            <w:tcW w:w="977"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4</w:t>
            </w:r>
          </w:p>
        </w:tc>
        <w:tc>
          <w:tcPr>
            <w:tcW w:w="97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5</w:t>
            </w:r>
          </w:p>
        </w:tc>
        <w:tc>
          <w:tcPr>
            <w:tcW w:w="97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6</w:t>
            </w:r>
          </w:p>
        </w:tc>
        <w:tc>
          <w:tcPr>
            <w:tcW w:w="97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7</w:t>
            </w:r>
            <w:r w:rsidRPr="001D032A">
              <w:rPr>
                <w:rFonts w:ascii="Calibri" w:hAnsi="Calibri"/>
                <w:bCs w:val="0"/>
                <w:color w:val="FFFFFF"/>
              </w:rPr>
              <w:t>*</w:t>
            </w:r>
          </w:p>
        </w:tc>
        <w:tc>
          <w:tcPr>
            <w:tcW w:w="97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8</w:t>
            </w:r>
            <w:r w:rsidRPr="001D032A">
              <w:rPr>
                <w:rFonts w:ascii="Calibri" w:hAnsi="Calibri"/>
                <w:bCs w:val="0"/>
                <w:color w:val="FFFFFF"/>
              </w:rPr>
              <w:t>**</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Ambulantní poskytovatelé</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D032A">
              <w:rPr>
                <w:rFonts w:cstheme="minorHAnsi"/>
                <w:sz w:val="20"/>
                <w:szCs w:val="20"/>
              </w:rPr>
              <w:t>20 918</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21 822</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21 720</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22 205</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22 617</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22 583</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22 583</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Praktický lékař pro dospělé</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32A">
              <w:rPr>
                <w:rFonts w:cstheme="minorHAnsi"/>
                <w:sz w:val="20"/>
                <w:szCs w:val="20"/>
              </w:rPr>
              <w:t>4 325</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4 433</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4 458</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4 439</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4 519</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4 485</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4 485</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Praktický lékař pro děti a dorost</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D032A">
              <w:rPr>
                <w:rFonts w:cstheme="minorHAnsi"/>
                <w:sz w:val="20"/>
                <w:szCs w:val="20"/>
              </w:rPr>
              <w:t>1 974</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2 324</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1 979</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2 001</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1 975</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1 965</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1 965</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Praktický zubní lékař</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32A">
              <w:rPr>
                <w:rFonts w:cstheme="minorHAnsi"/>
                <w:sz w:val="20"/>
                <w:szCs w:val="20"/>
              </w:rPr>
              <w:t>5 480</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5 534</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5 630</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5 644</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5 836</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5 829</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5 829</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Ostatní ambulantní poskytovatelé</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D032A">
              <w:rPr>
                <w:rFonts w:cstheme="minorHAnsi"/>
                <w:sz w:val="20"/>
                <w:szCs w:val="20"/>
              </w:rPr>
              <w:t>9 139</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9 514</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9 707</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10 121</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10 287</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10 304</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10 304</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Lůžkoví poskytovatelé</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32A">
              <w:rPr>
                <w:rFonts w:cstheme="minorHAnsi"/>
                <w:sz w:val="20"/>
                <w:szCs w:val="20"/>
              </w:rPr>
              <w:t>412</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411</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414</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422</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423</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435</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435</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Ostatní poskytovatelé</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D032A">
              <w:rPr>
                <w:rFonts w:cstheme="minorHAnsi"/>
                <w:sz w:val="20"/>
                <w:szCs w:val="20"/>
              </w:rPr>
              <w:t>2 682</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2 708</w:t>
            </w:r>
          </w:p>
        </w:tc>
        <w:tc>
          <w:tcPr>
            <w:tcW w:w="977"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2 744</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3 062</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3 042</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3 292</w:t>
            </w:r>
          </w:p>
        </w:tc>
        <w:tc>
          <w:tcPr>
            <w:tcW w:w="97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D032A">
              <w:rPr>
                <w:rFonts w:cstheme="minorHAnsi"/>
                <w:color w:val="000000"/>
                <w:sz w:val="20"/>
                <w:szCs w:val="20"/>
              </w:rPr>
              <w:t>3 292</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A1405A" w:rsidRPr="001D032A" w:rsidRDefault="00A1405A" w:rsidP="00A1405A">
            <w:pPr>
              <w:rPr>
                <w:b w:val="0"/>
                <w:bCs w:val="0"/>
                <w:sz w:val="20"/>
                <w:szCs w:val="20"/>
              </w:rPr>
            </w:pPr>
            <w:r w:rsidRPr="001D032A">
              <w:rPr>
                <w:b w:val="0"/>
                <w:bCs w:val="0"/>
                <w:sz w:val="20"/>
                <w:szCs w:val="20"/>
              </w:rPr>
              <w:t>Celkem</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1D032A">
              <w:rPr>
                <w:rFonts w:cstheme="minorHAnsi"/>
                <w:b/>
                <w:bCs/>
                <w:sz w:val="20"/>
                <w:szCs w:val="20"/>
              </w:rPr>
              <w:t>24 012</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1D032A">
              <w:rPr>
                <w:rFonts w:cstheme="minorHAnsi"/>
                <w:b/>
                <w:bCs/>
                <w:color w:val="000000"/>
                <w:sz w:val="20"/>
                <w:szCs w:val="20"/>
              </w:rPr>
              <w:t>24 941</w:t>
            </w:r>
          </w:p>
        </w:tc>
        <w:tc>
          <w:tcPr>
            <w:tcW w:w="977"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1D032A">
              <w:rPr>
                <w:rFonts w:cstheme="minorHAnsi"/>
                <w:b/>
                <w:bCs/>
                <w:color w:val="000000"/>
                <w:sz w:val="20"/>
                <w:szCs w:val="20"/>
              </w:rPr>
              <w:t>24 878</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1D032A">
              <w:rPr>
                <w:rFonts w:cstheme="minorHAnsi"/>
                <w:b/>
                <w:bCs/>
                <w:color w:val="000000"/>
                <w:sz w:val="20"/>
                <w:szCs w:val="20"/>
              </w:rPr>
              <w:t>25 689</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1D032A">
              <w:rPr>
                <w:rFonts w:cstheme="minorHAnsi"/>
                <w:b/>
                <w:bCs/>
                <w:color w:val="000000"/>
                <w:sz w:val="20"/>
                <w:szCs w:val="20"/>
              </w:rPr>
              <w:t>26 082</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1D032A">
              <w:rPr>
                <w:rFonts w:cstheme="minorHAnsi"/>
                <w:b/>
                <w:bCs/>
                <w:color w:val="000000"/>
                <w:sz w:val="20"/>
                <w:szCs w:val="20"/>
              </w:rPr>
              <w:t>26 310</w:t>
            </w:r>
          </w:p>
        </w:tc>
        <w:tc>
          <w:tcPr>
            <w:tcW w:w="97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1D032A">
              <w:rPr>
                <w:rFonts w:cstheme="minorHAnsi"/>
                <w:b/>
                <w:bCs/>
                <w:color w:val="000000"/>
                <w:sz w:val="20"/>
                <w:szCs w:val="20"/>
              </w:rPr>
              <w:t>26 310</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3A153C">
      <w:pPr>
        <w:pStyle w:val="Nadpis3"/>
        <w:jc w:val="center"/>
      </w:pPr>
      <w:bookmarkStart w:id="96" w:name="_Toc491000252"/>
      <w:bookmarkStart w:id="97" w:name="_Toc525944172"/>
      <w:r w:rsidRPr="001D032A">
        <w:t>Zdroj: Ministerstvo zdravotnictví ČR</w:t>
      </w:r>
      <w:bookmarkEnd w:id="96"/>
      <w:bookmarkEnd w:id="97"/>
    </w:p>
    <w:p w:rsidR="003A153C" w:rsidRPr="001D032A" w:rsidRDefault="003A153C" w:rsidP="003A153C"/>
    <w:p w:rsidR="00A1405A" w:rsidRPr="001D032A" w:rsidRDefault="00A1405A" w:rsidP="00A1405A">
      <w:pPr>
        <w:jc w:val="both"/>
        <w:rPr>
          <w:sz w:val="24"/>
          <w:szCs w:val="24"/>
        </w:rPr>
      </w:pPr>
      <w:bookmarkStart w:id="98" w:name="_Toc460455305"/>
      <w:r w:rsidRPr="001D032A">
        <w:rPr>
          <w:sz w:val="24"/>
          <w:szCs w:val="24"/>
        </w:rPr>
        <w:t xml:space="preserve">Celkové náklady na zdravotní služby čerpané ze ZFZP plánuje VoZP ČR ve výši </w:t>
      </w:r>
      <w:r w:rsidRPr="001D032A">
        <w:rPr>
          <w:sz w:val="24"/>
          <w:szCs w:val="24"/>
        </w:rPr>
        <w:br/>
        <w:t>18 063 mil. Kč, což představuje meziroční nárůst o 5,5 %. Průměrné náklady na zdravotní služby na 1 pojištěnce jsou plánovány ve výši 25 805 Kč, což v meziročním porovnání znamená nárůst o 5,2 %. Pro rok 2018 jsou plánovány historicky nejvyšší průměrné náklady na pojištěnce.</w:t>
      </w:r>
    </w:p>
    <w:p w:rsidR="00A1405A" w:rsidRPr="001D032A" w:rsidRDefault="00A1405A" w:rsidP="00A1405A">
      <w:pPr>
        <w:jc w:val="both"/>
        <w:rPr>
          <w:sz w:val="24"/>
          <w:szCs w:val="24"/>
        </w:rPr>
      </w:pPr>
    </w:p>
    <w:p w:rsidR="00A1405A" w:rsidRPr="001D032A" w:rsidRDefault="00A1405A" w:rsidP="00A1405A">
      <w:pPr>
        <w:jc w:val="both"/>
        <w:rPr>
          <w:sz w:val="24"/>
          <w:szCs w:val="24"/>
        </w:rPr>
      </w:pPr>
    </w:p>
    <w:p w:rsidR="003E1B90" w:rsidRPr="001D032A" w:rsidRDefault="003E1B90" w:rsidP="003A153C">
      <w:pPr>
        <w:pStyle w:val="Nadpis3"/>
      </w:pPr>
      <w:bookmarkStart w:id="99" w:name="_Toc525944173"/>
      <w:r w:rsidRPr="001D032A">
        <w:lastRenderedPageBreak/>
        <w:t>Tabulka 8: Struktura nákladů na zdravotní služby podle jednotlivých segmentů</w:t>
      </w:r>
      <w:bookmarkEnd w:id="98"/>
      <w:bookmarkEnd w:id="99"/>
    </w:p>
    <w:tbl>
      <w:tblPr>
        <w:tblStyle w:val="Tabulkasmkou4zvraznn1"/>
        <w:tblW w:w="9062" w:type="dxa"/>
        <w:tblLayout w:type="fixed"/>
        <w:tblLook w:val="04A0" w:firstRow="1" w:lastRow="0" w:firstColumn="1" w:lastColumn="0" w:noHBand="0" w:noVBand="1"/>
      </w:tblPr>
      <w:tblGrid>
        <w:gridCol w:w="1671"/>
        <w:gridCol w:w="1055"/>
        <w:gridCol w:w="1056"/>
        <w:gridCol w:w="1056"/>
        <w:gridCol w:w="1056"/>
        <w:gridCol w:w="1056"/>
        <w:gridCol w:w="1056"/>
        <w:gridCol w:w="1056"/>
      </w:tblGrid>
      <w:tr w:rsidR="003A153C" w:rsidRPr="001D032A" w:rsidTr="003A153C">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3A153C" w:rsidRPr="001D032A" w:rsidRDefault="003A153C" w:rsidP="003E1B90">
            <w:pPr>
              <w:jc w:val="center"/>
              <w:rPr>
                <w:rFonts w:ascii="Calibri" w:hAnsi="Calibri"/>
                <w:bCs w:val="0"/>
                <w:color w:val="FFFFFF"/>
              </w:rPr>
            </w:pPr>
            <w:r w:rsidRPr="001D032A">
              <w:rPr>
                <w:rFonts w:ascii="Calibri" w:hAnsi="Calibri"/>
                <w:bCs w:val="0"/>
                <w:color w:val="FFFFFF"/>
              </w:rPr>
              <w:t>Ukazatel</w:t>
            </w:r>
          </w:p>
          <w:p w:rsidR="003A153C" w:rsidRPr="001D032A" w:rsidRDefault="003A153C" w:rsidP="003E1B90">
            <w:pPr>
              <w:jc w:val="center"/>
              <w:rPr>
                <w:rFonts w:ascii="Calibri" w:hAnsi="Calibri"/>
                <w:bCs w:val="0"/>
                <w:color w:val="FFFFFF"/>
              </w:rPr>
            </w:pPr>
            <w:r w:rsidRPr="001D032A">
              <w:rPr>
                <w:rFonts w:ascii="Calibri" w:hAnsi="Calibri"/>
                <w:bCs w:val="0"/>
                <w:color w:val="FFFFFF"/>
              </w:rPr>
              <w:t>(v mil. Kč)</w:t>
            </w:r>
          </w:p>
        </w:tc>
        <w:tc>
          <w:tcPr>
            <w:tcW w:w="1055"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2</w:t>
            </w:r>
          </w:p>
        </w:tc>
        <w:tc>
          <w:tcPr>
            <w:tcW w:w="105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3</w:t>
            </w:r>
          </w:p>
        </w:tc>
        <w:tc>
          <w:tcPr>
            <w:tcW w:w="105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4</w:t>
            </w:r>
          </w:p>
        </w:tc>
        <w:tc>
          <w:tcPr>
            <w:tcW w:w="105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5</w:t>
            </w:r>
          </w:p>
        </w:tc>
        <w:tc>
          <w:tcPr>
            <w:tcW w:w="105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6</w:t>
            </w:r>
          </w:p>
        </w:tc>
        <w:tc>
          <w:tcPr>
            <w:tcW w:w="105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7</w:t>
            </w:r>
            <w:r w:rsidRPr="001D032A">
              <w:rPr>
                <w:rFonts w:ascii="Calibri" w:hAnsi="Calibri"/>
                <w:bCs w:val="0"/>
                <w:color w:val="FFFFFF"/>
              </w:rPr>
              <w:t>*</w:t>
            </w:r>
          </w:p>
        </w:tc>
        <w:tc>
          <w:tcPr>
            <w:tcW w:w="1056" w:type="dxa"/>
            <w:vAlign w:val="center"/>
          </w:tcPr>
          <w:p w:rsidR="003A153C" w:rsidRPr="001D032A" w:rsidRDefault="003A153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8</w:t>
            </w:r>
            <w:r w:rsidR="00996BAC" w:rsidRPr="001D032A">
              <w:rPr>
                <w:rFonts w:ascii="Calibri" w:hAnsi="Calibri"/>
                <w:bCs w:val="0"/>
                <w:color w:val="FFFFFF"/>
              </w:rPr>
              <w:t>**</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1405A" w:rsidRPr="001D032A" w:rsidRDefault="00A1405A" w:rsidP="00A1405A">
            <w:pPr>
              <w:rPr>
                <w:rFonts w:ascii="Calibri" w:hAnsi="Calibri"/>
                <w:b w:val="0"/>
                <w:sz w:val="20"/>
                <w:szCs w:val="20"/>
              </w:rPr>
            </w:pPr>
            <w:r w:rsidRPr="001D032A">
              <w:rPr>
                <w:rFonts w:ascii="Calibri" w:hAnsi="Calibri"/>
                <w:b w:val="0"/>
                <w:sz w:val="20"/>
                <w:szCs w:val="20"/>
              </w:rPr>
              <w:t>Náklady na ambulantní péči</w:t>
            </w:r>
          </w:p>
        </w:tc>
        <w:tc>
          <w:tcPr>
            <w:tcW w:w="1055"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3 419</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3 499</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4 113</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4 249</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4 962</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5 040</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5 187</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1405A" w:rsidRPr="001D032A" w:rsidRDefault="00A1405A" w:rsidP="00A1405A">
            <w:pPr>
              <w:rPr>
                <w:rFonts w:ascii="Calibri" w:hAnsi="Calibri"/>
                <w:b w:val="0"/>
                <w:sz w:val="20"/>
                <w:szCs w:val="20"/>
              </w:rPr>
            </w:pPr>
            <w:r w:rsidRPr="001D032A">
              <w:rPr>
                <w:rFonts w:ascii="Calibri" w:hAnsi="Calibri"/>
                <w:b w:val="0"/>
                <w:sz w:val="20"/>
                <w:szCs w:val="20"/>
              </w:rPr>
              <w:t>Náklady na lůžkovou péči</w:t>
            </w:r>
          </w:p>
        </w:tc>
        <w:tc>
          <w:tcPr>
            <w:tcW w:w="1055"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5 887</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6 472</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7 294</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7 785</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7 821</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8 774</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9 441</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1405A" w:rsidRPr="001D032A" w:rsidRDefault="00A1405A" w:rsidP="00A1405A">
            <w:pPr>
              <w:rPr>
                <w:rFonts w:ascii="Calibri" w:hAnsi="Calibri"/>
                <w:b w:val="0"/>
                <w:sz w:val="20"/>
                <w:szCs w:val="20"/>
              </w:rPr>
            </w:pPr>
            <w:r w:rsidRPr="001D032A">
              <w:rPr>
                <w:rFonts w:ascii="Calibri" w:hAnsi="Calibri"/>
                <w:b w:val="0"/>
                <w:sz w:val="20"/>
                <w:szCs w:val="20"/>
              </w:rPr>
              <w:t>Ostatní náklady</w:t>
            </w:r>
          </w:p>
        </w:tc>
        <w:tc>
          <w:tcPr>
            <w:tcW w:w="1055"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2 768</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2 824</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3 007</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3 136</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3 209</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3 316</w:t>
            </w:r>
          </w:p>
        </w:tc>
        <w:tc>
          <w:tcPr>
            <w:tcW w:w="1056"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3 435</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1405A" w:rsidRPr="001D032A" w:rsidRDefault="00A1405A" w:rsidP="00A1405A">
            <w:pPr>
              <w:rPr>
                <w:rFonts w:ascii="Calibri" w:hAnsi="Calibri"/>
                <w:b w:val="0"/>
                <w:sz w:val="20"/>
                <w:szCs w:val="20"/>
              </w:rPr>
            </w:pPr>
            <w:r w:rsidRPr="001D032A">
              <w:rPr>
                <w:rFonts w:ascii="Calibri" w:hAnsi="Calibri"/>
                <w:b w:val="0"/>
                <w:sz w:val="20"/>
                <w:szCs w:val="20"/>
              </w:rPr>
              <w:t>Celkové náklady</w:t>
            </w:r>
          </w:p>
        </w:tc>
        <w:tc>
          <w:tcPr>
            <w:tcW w:w="1055"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12 074</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12 795</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14 414</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15 170</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15 992</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17 130</w:t>
            </w:r>
          </w:p>
        </w:tc>
        <w:tc>
          <w:tcPr>
            <w:tcW w:w="1056"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18 063</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996BAC">
      <w:pPr>
        <w:pStyle w:val="Nadpis3"/>
        <w:jc w:val="center"/>
      </w:pPr>
      <w:bookmarkStart w:id="100" w:name="_Toc491000254"/>
      <w:bookmarkStart w:id="101" w:name="_Toc525944174"/>
      <w:r w:rsidRPr="001D032A">
        <w:t>Zdroj: Ministerstvo zdravotnictví ČR</w:t>
      </w:r>
      <w:bookmarkEnd w:id="100"/>
      <w:bookmarkEnd w:id="101"/>
    </w:p>
    <w:p w:rsidR="00996BAC" w:rsidRPr="001D032A" w:rsidRDefault="00996BAC"/>
    <w:p w:rsidR="00A1405A" w:rsidRPr="001D032A" w:rsidRDefault="00A1405A" w:rsidP="00A1405A">
      <w:pPr>
        <w:jc w:val="both"/>
        <w:rPr>
          <w:sz w:val="24"/>
          <w:szCs w:val="24"/>
        </w:rPr>
      </w:pPr>
      <w:bookmarkStart w:id="102" w:name="_Toc460455306"/>
      <w:r w:rsidRPr="001D032A">
        <w:rPr>
          <w:sz w:val="24"/>
          <w:szCs w:val="24"/>
        </w:rPr>
        <w:t>Náklady na preventivní péči če</w:t>
      </w:r>
      <w:r w:rsidRPr="001D032A">
        <w:rPr>
          <w:rStyle w:val="TEXTChar"/>
          <w:lang w:val="cs-CZ"/>
        </w:rPr>
        <w:t>rpané z Fprev plánuje VoZP ČR v celkové výši 140,0 mil. Kč, v roce 2018,</w:t>
      </w:r>
      <w:r w:rsidRPr="001D032A">
        <w:rPr>
          <w:sz w:val="24"/>
          <w:szCs w:val="24"/>
        </w:rPr>
        <w:t xml:space="preserve"> tj. meziroční nárůst nákladů o 85,3 %, v absolutním vyjádření o 64,5 mil. Kč. Navýšení nákladů Fprev je způsobeno jednoduššími podmínkami pro čerpání, zvýšením některých příspěvků, ale i rozšířením okruhu příjemců v programu pro válečné veterány, Toto navýšení však bude možné pokrýt z příjmů tohoto fondu a nebude vyžadovat mimořádný příděl z fondu provozního.</w:t>
      </w:r>
    </w:p>
    <w:p w:rsidR="003E1B90" w:rsidRPr="001D032A" w:rsidRDefault="003E1B90" w:rsidP="00996BAC">
      <w:pPr>
        <w:pStyle w:val="Nadpis3"/>
      </w:pPr>
      <w:bookmarkStart w:id="103" w:name="_Toc525944175"/>
      <w:r w:rsidRPr="001D032A">
        <w:t>Tabulka 9: Náklady na preventivní zdravotní péči čerpané z fondu prevence</w:t>
      </w:r>
      <w:bookmarkEnd w:id="102"/>
      <w:bookmarkEnd w:id="103"/>
    </w:p>
    <w:tbl>
      <w:tblPr>
        <w:tblStyle w:val="Tabulkasmkou4zvraznn1"/>
        <w:tblW w:w="9062" w:type="dxa"/>
        <w:tblLayout w:type="fixed"/>
        <w:tblLook w:val="04A0" w:firstRow="1" w:lastRow="0" w:firstColumn="1" w:lastColumn="0" w:noHBand="0" w:noVBand="1"/>
      </w:tblPr>
      <w:tblGrid>
        <w:gridCol w:w="2488"/>
        <w:gridCol w:w="938"/>
        <w:gridCol w:w="939"/>
        <w:gridCol w:w="939"/>
        <w:gridCol w:w="939"/>
        <w:gridCol w:w="939"/>
        <w:gridCol w:w="940"/>
        <w:gridCol w:w="940"/>
      </w:tblGrid>
      <w:tr w:rsidR="00996BAC" w:rsidRPr="001D032A" w:rsidTr="00996BAC">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996BAC" w:rsidRPr="001D032A" w:rsidRDefault="00996BAC" w:rsidP="003E1B90">
            <w:pPr>
              <w:jc w:val="center"/>
              <w:rPr>
                <w:rFonts w:ascii="Calibri" w:hAnsi="Calibri"/>
                <w:bCs w:val="0"/>
                <w:color w:val="FFFFFF"/>
              </w:rPr>
            </w:pPr>
            <w:r w:rsidRPr="001D032A">
              <w:rPr>
                <w:rFonts w:ascii="Calibri" w:hAnsi="Calibri"/>
                <w:bCs w:val="0"/>
                <w:color w:val="FFFFFF"/>
              </w:rPr>
              <w:t>Ukazatel</w:t>
            </w:r>
          </w:p>
          <w:p w:rsidR="00996BAC" w:rsidRPr="001D032A" w:rsidRDefault="00996BAC" w:rsidP="003E1B90">
            <w:pPr>
              <w:jc w:val="center"/>
              <w:rPr>
                <w:rFonts w:ascii="Calibri" w:hAnsi="Calibri"/>
                <w:bCs w:val="0"/>
                <w:color w:val="FFFFFF"/>
              </w:rPr>
            </w:pPr>
            <w:r w:rsidRPr="001D032A">
              <w:rPr>
                <w:rFonts w:ascii="Calibri" w:hAnsi="Calibri"/>
                <w:bCs w:val="0"/>
                <w:color w:val="FFFFFF"/>
              </w:rPr>
              <w:t>(</w:t>
            </w:r>
            <w:r w:rsidR="001D032A" w:rsidRPr="001D032A">
              <w:rPr>
                <w:rFonts w:ascii="Calibri" w:hAnsi="Calibri"/>
                <w:bCs w:val="0"/>
                <w:color w:val="FFFFFF"/>
              </w:rPr>
              <w:t>v mil.</w:t>
            </w:r>
            <w:r w:rsidRPr="001D032A">
              <w:rPr>
                <w:rFonts w:ascii="Calibri" w:hAnsi="Calibri"/>
                <w:bCs w:val="0"/>
                <w:color w:val="FFFFFF"/>
              </w:rPr>
              <w:t xml:space="preserve"> Kč)</w:t>
            </w:r>
          </w:p>
        </w:tc>
        <w:tc>
          <w:tcPr>
            <w:tcW w:w="938"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2</w:t>
            </w:r>
          </w:p>
        </w:tc>
        <w:tc>
          <w:tcPr>
            <w:tcW w:w="939"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3</w:t>
            </w:r>
          </w:p>
        </w:tc>
        <w:tc>
          <w:tcPr>
            <w:tcW w:w="939"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4</w:t>
            </w:r>
          </w:p>
        </w:tc>
        <w:tc>
          <w:tcPr>
            <w:tcW w:w="939"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5</w:t>
            </w:r>
          </w:p>
        </w:tc>
        <w:tc>
          <w:tcPr>
            <w:tcW w:w="939"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6</w:t>
            </w:r>
          </w:p>
        </w:tc>
        <w:tc>
          <w:tcPr>
            <w:tcW w:w="940"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7</w:t>
            </w:r>
            <w:r w:rsidRPr="001D032A">
              <w:rPr>
                <w:rFonts w:ascii="Calibri" w:hAnsi="Calibri"/>
                <w:bCs w:val="0"/>
                <w:color w:val="FFFFFF"/>
              </w:rPr>
              <w:t>*</w:t>
            </w:r>
          </w:p>
        </w:tc>
        <w:tc>
          <w:tcPr>
            <w:tcW w:w="940" w:type="dxa"/>
            <w:vAlign w:val="center"/>
          </w:tcPr>
          <w:p w:rsidR="00996BAC" w:rsidRPr="001D032A" w:rsidRDefault="00996BA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1405A" w:rsidRPr="001D032A">
              <w:rPr>
                <w:rFonts w:ascii="Calibri" w:hAnsi="Calibri"/>
                <w:bCs w:val="0"/>
                <w:color w:val="FFFFFF"/>
              </w:rPr>
              <w:t>8</w:t>
            </w:r>
            <w:r w:rsidRPr="001D032A">
              <w:rPr>
                <w:rFonts w:ascii="Calibri" w:hAnsi="Calibri"/>
                <w:bCs w:val="0"/>
                <w:color w:val="FFFFFF"/>
              </w:rPr>
              <w:t>**</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A1405A" w:rsidRPr="001D032A" w:rsidRDefault="00A1405A" w:rsidP="00A1405A">
            <w:pPr>
              <w:rPr>
                <w:rFonts w:ascii="Calibri" w:hAnsi="Calibri"/>
                <w:b w:val="0"/>
                <w:bCs w:val="0"/>
                <w:sz w:val="20"/>
                <w:szCs w:val="20"/>
              </w:rPr>
            </w:pPr>
            <w:r w:rsidRPr="001D032A">
              <w:rPr>
                <w:rFonts w:ascii="Calibri" w:hAnsi="Calibri"/>
                <w:b w:val="0"/>
                <w:bCs w:val="0"/>
                <w:sz w:val="20"/>
                <w:szCs w:val="20"/>
              </w:rPr>
              <w:t>Náklady na zdravotní programy</w:t>
            </w:r>
          </w:p>
        </w:tc>
        <w:tc>
          <w:tcPr>
            <w:tcW w:w="938"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49</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44</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47</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39</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53</w:t>
            </w:r>
          </w:p>
        </w:tc>
        <w:tc>
          <w:tcPr>
            <w:tcW w:w="940"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64</w:t>
            </w:r>
          </w:p>
        </w:tc>
        <w:tc>
          <w:tcPr>
            <w:tcW w:w="940"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127</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A1405A" w:rsidRPr="001D032A" w:rsidRDefault="00A1405A" w:rsidP="00A1405A">
            <w:pPr>
              <w:rPr>
                <w:rFonts w:ascii="Calibri" w:hAnsi="Calibri"/>
                <w:b w:val="0"/>
                <w:bCs w:val="0"/>
                <w:sz w:val="20"/>
                <w:szCs w:val="20"/>
              </w:rPr>
            </w:pPr>
            <w:r w:rsidRPr="001D032A">
              <w:rPr>
                <w:rFonts w:ascii="Calibri" w:hAnsi="Calibri"/>
                <w:b w:val="0"/>
                <w:bCs w:val="0"/>
                <w:sz w:val="20"/>
                <w:szCs w:val="20"/>
              </w:rPr>
              <w:t>Náklady na ozdravné pobyty</w:t>
            </w:r>
          </w:p>
        </w:tc>
        <w:tc>
          <w:tcPr>
            <w:tcW w:w="938"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14</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14</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14</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12</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12</w:t>
            </w:r>
          </w:p>
        </w:tc>
        <w:tc>
          <w:tcPr>
            <w:tcW w:w="940"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10</w:t>
            </w:r>
          </w:p>
        </w:tc>
        <w:tc>
          <w:tcPr>
            <w:tcW w:w="940"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11</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A1405A" w:rsidRPr="001D032A" w:rsidRDefault="00A1405A" w:rsidP="00A1405A">
            <w:pPr>
              <w:rPr>
                <w:rFonts w:ascii="Calibri" w:hAnsi="Calibri"/>
                <w:b w:val="0"/>
                <w:bCs w:val="0"/>
                <w:sz w:val="20"/>
                <w:szCs w:val="20"/>
              </w:rPr>
            </w:pPr>
            <w:r w:rsidRPr="001D032A">
              <w:rPr>
                <w:rFonts w:ascii="Calibri" w:hAnsi="Calibri"/>
                <w:b w:val="0"/>
                <w:bCs w:val="0"/>
                <w:sz w:val="20"/>
                <w:szCs w:val="20"/>
              </w:rPr>
              <w:t>Ostatní činnosti</w:t>
            </w:r>
          </w:p>
        </w:tc>
        <w:tc>
          <w:tcPr>
            <w:tcW w:w="938"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1</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5</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7</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3</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w:t>
            </w:r>
          </w:p>
        </w:tc>
        <w:tc>
          <w:tcPr>
            <w:tcW w:w="940"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w:t>
            </w:r>
          </w:p>
        </w:tc>
        <w:tc>
          <w:tcPr>
            <w:tcW w:w="940"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w:t>
            </w:r>
          </w:p>
        </w:tc>
      </w:tr>
      <w:tr w:rsidR="00A1405A" w:rsidRPr="001D032A" w:rsidTr="00A1405A">
        <w:trPr>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A1405A" w:rsidRPr="001D032A" w:rsidRDefault="00A1405A" w:rsidP="00A1405A">
            <w:pPr>
              <w:rPr>
                <w:rFonts w:ascii="Calibri" w:hAnsi="Calibri"/>
                <w:b w:val="0"/>
                <w:bCs w:val="0"/>
                <w:sz w:val="20"/>
                <w:szCs w:val="20"/>
              </w:rPr>
            </w:pPr>
            <w:r w:rsidRPr="001D032A">
              <w:rPr>
                <w:rFonts w:ascii="Calibri" w:hAnsi="Calibri"/>
                <w:b w:val="0"/>
                <w:bCs w:val="0"/>
                <w:sz w:val="20"/>
                <w:szCs w:val="20"/>
              </w:rPr>
              <w:t>Z jiných zdrojů (VoZP)</w:t>
            </w:r>
          </w:p>
        </w:tc>
        <w:tc>
          <w:tcPr>
            <w:tcW w:w="938"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9</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11</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9</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10</w:t>
            </w:r>
          </w:p>
        </w:tc>
        <w:tc>
          <w:tcPr>
            <w:tcW w:w="939"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10</w:t>
            </w:r>
          </w:p>
        </w:tc>
        <w:tc>
          <w:tcPr>
            <w:tcW w:w="940"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13</w:t>
            </w:r>
          </w:p>
        </w:tc>
        <w:tc>
          <w:tcPr>
            <w:tcW w:w="940" w:type="dxa"/>
            <w:vAlign w:val="center"/>
          </w:tcPr>
          <w:p w:rsidR="00A1405A" w:rsidRPr="001D032A" w:rsidRDefault="00A1405A" w:rsidP="00A1405A">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14</w:t>
            </w:r>
          </w:p>
        </w:tc>
      </w:tr>
      <w:tr w:rsidR="00A1405A" w:rsidRPr="001D032A" w:rsidTr="00A1405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A1405A" w:rsidRPr="001D032A" w:rsidRDefault="00A1405A" w:rsidP="00A1405A">
            <w:pPr>
              <w:rPr>
                <w:rFonts w:ascii="Calibri" w:hAnsi="Calibri"/>
                <w:b w:val="0"/>
                <w:bCs w:val="0"/>
                <w:sz w:val="20"/>
                <w:szCs w:val="20"/>
              </w:rPr>
            </w:pPr>
            <w:r w:rsidRPr="001D032A">
              <w:rPr>
                <w:rFonts w:ascii="Calibri" w:hAnsi="Calibri"/>
                <w:b w:val="0"/>
                <w:bCs w:val="0"/>
                <w:sz w:val="20"/>
                <w:szCs w:val="20"/>
              </w:rPr>
              <w:t>Celkové náklady na preventivní zdravotní péči</w:t>
            </w:r>
          </w:p>
        </w:tc>
        <w:tc>
          <w:tcPr>
            <w:tcW w:w="938"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b/>
                <w:bCs/>
                <w:color w:val="000000"/>
                <w:sz w:val="21"/>
                <w:szCs w:val="21"/>
              </w:rPr>
            </w:pPr>
            <w:r w:rsidRPr="001D032A">
              <w:rPr>
                <w:b/>
                <w:bCs/>
                <w:color w:val="000000"/>
                <w:sz w:val="21"/>
                <w:szCs w:val="21"/>
              </w:rPr>
              <w:t>72</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b/>
                <w:bCs/>
                <w:color w:val="000000"/>
                <w:sz w:val="21"/>
                <w:szCs w:val="21"/>
              </w:rPr>
            </w:pPr>
            <w:r w:rsidRPr="001D032A">
              <w:rPr>
                <w:b/>
                <w:bCs/>
                <w:color w:val="000000"/>
                <w:sz w:val="21"/>
                <w:szCs w:val="21"/>
              </w:rPr>
              <w:t>74</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b/>
                <w:bCs/>
                <w:color w:val="000000"/>
                <w:sz w:val="21"/>
                <w:szCs w:val="21"/>
              </w:rPr>
            </w:pPr>
            <w:r w:rsidRPr="001D032A">
              <w:rPr>
                <w:b/>
                <w:bCs/>
                <w:color w:val="000000"/>
                <w:sz w:val="21"/>
                <w:szCs w:val="21"/>
              </w:rPr>
              <w:t>77</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b/>
                <w:bCs/>
                <w:color w:val="000000"/>
                <w:sz w:val="21"/>
                <w:szCs w:val="21"/>
              </w:rPr>
            </w:pPr>
            <w:r w:rsidRPr="001D032A">
              <w:rPr>
                <w:b/>
                <w:bCs/>
                <w:color w:val="000000"/>
                <w:sz w:val="21"/>
                <w:szCs w:val="21"/>
              </w:rPr>
              <w:t>64</w:t>
            </w:r>
          </w:p>
        </w:tc>
        <w:tc>
          <w:tcPr>
            <w:tcW w:w="939"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75</w:t>
            </w:r>
          </w:p>
        </w:tc>
        <w:tc>
          <w:tcPr>
            <w:tcW w:w="940"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89</w:t>
            </w:r>
          </w:p>
        </w:tc>
        <w:tc>
          <w:tcPr>
            <w:tcW w:w="940" w:type="dxa"/>
            <w:vAlign w:val="center"/>
          </w:tcPr>
          <w:p w:rsidR="00A1405A" w:rsidRPr="001D032A" w:rsidRDefault="00A1405A" w:rsidP="00A1405A">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154</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996BAC">
      <w:pPr>
        <w:pStyle w:val="Nadpis3"/>
        <w:jc w:val="center"/>
      </w:pPr>
      <w:bookmarkStart w:id="104" w:name="_Toc491000256"/>
      <w:bookmarkStart w:id="105" w:name="_Toc525944176"/>
      <w:r w:rsidRPr="001D032A">
        <w:t>Zdroj: Ministerstvo zdravotnictví ČR</w:t>
      </w:r>
      <w:bookmarkEnd w:id="104"/>
      <w:bookmarkEnd w:id="105"/>
    </w:p>
    <w:p w:rsidR="00996BAC" w:rsidRPr="001D032A" w:rsidRDefault="00996BAC" w:rsidP="00996BAC"/>
    <w:p w:rsidR="003E1B90" w:rsidRPr="001D032A" w:rsidRDefault="003E1B90" w:rsidP="003E1B90">
      <w:pPr>
        <w:pStyle w:val="Nadpis3"/>
      </w:pPr>
      <w:bookmarkStart w:id="106" w:name="_Toc460456847"/>
      <w:bookmarkStart w:id="107" w:name="_Toc491000257"/>
      <w:bookmarkStart w:id="108" w:name="_Toc525944177"/>
      <w:r w:rsidRPr="001D032A">
        <w:t>Závěr</w:t>
      </w:r>
      <w:bookmarkEnd w:id="106"/>
      <w:bookmarkEnd w:id="107"/>
      <w:bookmarkEnd w:id="108"/>
    </w:p>
    <w:p w:rsidR="00A1405A" w:rsidRPr="001D032A" w:rsidRDefault="00A1405A" w:rsidP="00A1405A">
      <w:pPr>
        <w:jc w:val="both"/>
        <w:rPr>
          <w:sz w:val="24"/>
          <w:szCs w:val="24"/>
        </w:rPr>
      </w:pPr>
      <w:r w:rsidRPr="001D032A">
        <w:rPr>
          <w:sz w:val="24"/>
          <w:szCs w:val="24"/>
        </w:rPr>
        <w:t>Ministerstvo zdravotnictví ověřilo soulad plánovaných nákladů na jednotlivé segmenty s modelovaným dopadem úhradové vyhlášky na rok 2018. V případě VoZP ČR lze konstatovat, že struktura nákladů dle segmentů umožňuje naplnění cílů úhradové vyhlášky pro rok 2018 v případě jejího dodržení. Na příjmové i nákladové straně existuje shoda mezi ZPP a odhady MZ, což znamená, že VoZP ČR bude v roce 2018 hospodařit mírně přebytkově.</w:t>
      </w:r>
    </w:p>
    <w:p w:rsidR="003E1B90" w:rsidRPr="001D032A" w:rsidRDefault="005A1CC4" w:rsidP="00996BAC">
      <w:pPr>
        <w:pStyle w:val="Nadpis2"/>
      </w:pPr>
      <w:hyperlink r:id="rId22" w:history="1">
        <w:bookmarkStart w:id="109" w:name="_Toc460456848"/>
        <w:bookmarkStart w:id="110" w:name="_Toc525944503"/>
        <w:r w:rsidR="003E1B90" w:rsidRPr="001D032A">
          <w:rPr>
            <w:rStyle w:val="Hypertextovodkaz"/>
            <w:color w:val="7B230B" w:themeColor="accent1" w:themeShade="BF"/>
            <w:u w:val="none"/>
          </w:rPr>
          <w:t>Česká průmyslová zdravotní pojišťovna</w:t>
        </w:r>
      </w:hyperlink>
      <w:r w:rsidR="003E1B90" w:rsidRPr="001D032A">
        <w:t xml:space="preserve"> (ČPZP)</w:t>
      </w:r>
      <w:bookmarkEnd w:id="109"/>
      <w:bookmarkEnd w:id="110"/>
    </w:p>
    <w:p w:rsidR="003E1B90" w:rsidRPr="001D032A" w:rsidRDefault="003E1B90" w:rsidP="00996BAC">
      <w:pPr>
        <w:pStyle w:val="Nadpis3"/>
      </w:pPr>
      <w:bookmarkStart w:id="111" w:name="_Toc460456849"/>
      <w:bookmarkStart w:id="112" w:name="_Toc491000258"/>
      <w:bookmarkStart w:id="113" w:name="_Toc525944178"/>
      <w:r w:rsidRPr="001D032A">
        <w:t>Hodnocení ekonomické</w:t>
      </w:r>
      <w:bookmarkEnd w:id="111"/>
      <w:bookmarkEnd w:id="112"/>
      <w:bookmarkEnd w:id="113"/>
    </w:p>
    <w:p w:rsidR="0065496B" w:rsidRPr="001D032A" w:rsidRDefault="0065496B" w:rsidP="009A093B">
      <w:pPr>
        <w:jc w:val="both"/>
        <w:rPr>
          <w:sz w:val="24"/>
          <w:szCs w:val="24"/>
        </w:rPr>
      </w:pPr>
      <w:r w:rsidRPr="001D032A">
        <w:rPr>
          <w:sz w:val="24"/>
          <w:szCs w:val="24"/>
        </w:rPr>
        <w:t xml:space="preserve">ČPZP byla pod názvem Hutnická zaměstnanecká pojišťovna zřízena na základě žádosti největších hutních a hutnicko-strojírenských podniků moravskoslezského regionu roku 1992. V roce 1996 byla sloučena se zaměstnaneckou zdravotní pojišťovnou ATLAS, dále v roce 2009 se Zdravotní pojišťovnou AGEL a Českou národní zdravotní pojišťovnou. Ke dni 1. 10. 2009 byla schválena změna názvu na Českou průmyslovou zdravotní pojišťovnu, která byla v roce 2012 sloučena se Zdravotní pojišťovnou Metal-Aliance. </w:t>
      </w:r>
    </w:p>
    <w:p w:rsidR="009A093B" w:rsidRPr="001D032A" w:rsidRDefault="009A093B" w:rsidP="009A093B">
      <w:pPr>
        <w:jc w:val="both"/>
        <w:rPr>
          <w:sz w:val="24"/>
          <w:szCs w:val="24"/>
        </w:rPr>
      </w:pPr>
      <w:bookmarkStart w:id="114" w:name="_Toc460455307"/>
      <w:r w:rsidRPr="001D032A">
        <w:rPr>
          <w:sz w:val="24"/>
          <w:szCs w:val="24"/>
        </w:rPr>
        <w:t xml:space="preserve">Pojišťovna plánuje v roce 2018 stejně jako v předchozím roce dosáhnout přebytkového hospodaření s kladným saldem 53 mil. Kč. Zatímco příjmy z pojistného po přerozdělování na jednoho pojištěnce mají růst o 7,1 %, růst výdajů na zdravotní služby ze ZFZP na jednoho pojištěnce by měl dosáhnout 7,3 %. Přebytkové hospodaření umožní dále navyšovat úroveň celkových zůstatků na účtech pojišťovny. Tento pozitivní trend lze pozorovat v hospodaření od roku 2016. Zůstatky by měly činit na konci roku 2018 přibližně 3,2 mld. Kč, což by představovalo pokrytí ekvivalentu 22 denních výdajů na zdravotní služby ze ZFZP (mělo by tak dojít k mírnému meziročnímu růstu oproti očekávané skutečnosti roku 2017 z hodnoty 21 dní), avšak tento ukazatel ještě v roce 2012 dosahoval hodnoty 58. </w:t>
      </w:r>
    </w:p>
    <w:p w:rsidR="009A093B" w:rsidRPr="001D032A" w:rsidRDefault="009A093B" w:rsidP="009A093B">
      <w:pPr>
        <w:jc w:val="both"/>
        <w:rPr>
          <w:sz w:val="24"/>
          <w:szCs w:val="24"/>
        </w:rPr>
      </w:pPr>
      <w:r w:rsidRPr="001D032A">
        <w:rPr>
          <w:sz w:val="24"/>
          <w:szCs w:val="24"/>
        </w:rPr>
        <w:t xml:space="preserve">ČPZP využije 100% limit převodu prostředků ze základního do provozního fondu. Výdaje na vlastní činnost by měly stoupnout o cca 10,4 % na 915 mil. Kč. Největší podíl z této částky připadne na mzdové a další osobní výdaje včetně příslušenství (537 mil. Kč). Investiční výdaje z FRM mají stoupnout o 18 % z 69 na 82 mil. Kč. Z toho převážná část (46 mil. Kč) bude směřovat do oblasti ICT (upgrade IS MD Navision), do rozvoje informačních systémů (pořízení nových diskových polí) a na zajištění kybernetické bezpečnosti (implementace nařízení EU GDPR). Další investice budou směřovány do modernizace vlastněných nemovitostí (32 mil. Kč), nebo do výměny zastaralých součástí budov ve svém vlastnictví pro zlepšení bezpečnosti provozu a hygienických podmínek na pracovištích. </w:t>
      </w:r>
    </w:p>
    <w:p w:rsidR="009A093B" w:rsidRPr="001D032A" w:rsidRDefault="009A093B" w:rsidP="009A093B">
      <w:pPr>
        <w:jc w:val="both"/>
        <w:rPr>
          <w:sz w:val="24"/>
          <w:szCs w:val="24"/>
        </w:rPr>
      </w:pPr>
      <w:r w:rsidRPr="001D032A">
        <w:rPr>
          <w:sz w:val="24"/>
          <w:szCs w:val="24"/>
        </w:rPr>
        <w:t>ČPZP plánuje v roce 2018 pokračovat ve výrazném meziročním navyšování výdajů na preventivní programy meziročně o 39 %. Při srovnání s rokem 2016 se tyto výdaje vice než zdvojnásobí. Největší meziroční nárůst plánuje u preventivních aktivit zaměřených na podporu zdravého způsobu života a proti vzniku závažných onemocnění. Jednou z příčin významného navyšování výdajů na prevenci je i převod z provozního fondu, což umožnila změna zákona v souvislosti s novelou rozpočtových pravidel.</w:t>
      </w:r>
    </w:p>
    <w:p w:rsidR="009A093B" w:rsidRPr="001D032A" w:rsidRDefault="009A093B" w:rsidP="009A093B">
      <w:pPr>
        <w:jc w:val="both"/>
        <w:rPr>
          <w:sz w:val="24"/>
          <w:szCs w:val="24"/>
        </w:rPr>
      </w:pPr>
      <w:r w:rsidRPr="001D032A">
        <w:rPr>
          <w:sz w:val="24"/>
          <w:szCs w:val="24"/>
        </w:rPr>
        <w:t xml:space="preserve">Průměrný počet zaměstnanců pojišťovny by měl stoupnout meziročně o 1 na 639. Počet pojištěnců na jednoho zaměstnance pak zůstane neměnný na hodnotě 1 947. Tato hodnota patří mezi zaměstnaneckými zdravotními pojišťovnami mezi nejvyšší. Průměrný počet pojištěnců ČPZP má nepatrně vzrůst o necelé 2 000 (0,2 %). </w:t>
      </w:r>
    </w:p>
    <w:p w:rsidR="009A093B" w:rsidRPr="001D032A" w:rsidRDefault="009A093B" w:rsidP="009A093B">
      <w:pPr>
        <w:jc w:val="both"/>
        <w:rPr>
          <w:sz w:val="24"/>
          <w:szCs w:val="24"/>
        </w:rPr>
      </w:pPr>
      <w:r w:rsidRPr="001D032A">
        <w:rPr>
          <w:sz w:val="24"/>
          <w:szCs w:val="24"/>
        </w:rPr>
        <w:t>Hodnota pohledávek i závazků by měla růst adekvátně k růstu příjmů a výdajů pojišťovny (obě o 5,9 %). Ani v roce 2018 se nečeká vznik závazků po lhůtě splatnosti vůči poskytovatelům zdravotních služeb. ČPZP plánuje v roce 2018 ponechat výši rezervy na soudní spory v částce 3 mil. Kč.</w:t>
      </w:r>
    </w:p>
    <w:p w:rsidR="009A093B" w:rsidRPr="001D032A" w:rsidRDefault="009A093B" w:rsidP="009A093B">
      <w:pPr>
        <w:pStyle w:val="TEXT"/>
        <w:rPr>
          <w:lang w:val="cs-CZ"/>
        </w:rPr>
      </w:pPr>
    </w:p>
    <w:p w:rsidR="003E1B90" w:rsidRPr="001D032A" w:rsidRDefault="003E1B90" w:rsidP="00D720FA">
      <w:pPr>
        <w:pStyle w:val="Nadpis3"/>
      </w:pPr>
      <w:bookmarkStart w:id="115" w:name="_Toc525944179"/>
      <w:r w:rsidRPr="001D032A">
        <w:lastRenderedPageBreak/>
        <w:t>Graf 5: Příjmy a výdaje ČPZP</w:t>
      </w:r>
      <w:bookmarkEnd w:id="114"/>
      <w:r w:rsidR="009A093B" w:rsidRPr="001D032A">
        <w:t xml:space="preserve"> v milionech Kč</w:t>
      </w:r>
      <w:bookmarkEnd w:id="115"/>
    </w:p>
    <w:p w:rsidR="00D720FA" w:rsidRPr="001D032A" w:rsidRDefault="009A093B" w:rsidP="00D720FA">
      <w:r w:rsidRPr="001D032A">
        <w:rPr>
          <w:noProof/>
          <w:lang w:eastAsia="cs-CZ"/>
        </w:rPr>
        <w:drawing>
          <wp:inline distT="0" distB="0" distL="0" distR="0" wp14:anchorId="0929598E" wp14:editId="125D4127">
            <wp:extent cx="5707380" cy="2667000"/>
            <wp:effectExtent l="0" t="0" r="7620" b="0"/>
            <wp:docPr id="6" name="Graf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017BC7-76FC-46E4-9CD1-C7BBFC111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093B" w:rsidRPr="001D032A" w:rsidRDefault="009A093B" w:rsidP="009A093B">
      <w:pPr>
        <w:pStyle w:val="Bezmezer"/>
        <w:rPr>
          <w:sz w:val="20"/>
          <w:szCs w:val="20"/>
        </w:rPr>
      </w:pPr>
      <w:r w:rsidRPr="001D032A">
        <w:rPr>
          <w:sz w:val="20"/>
          <w:szCs w:val="20"/>
        </w:rPr>
        <w:t>* očekávaná skutečnost</w:t>
      </w:r>
    </w:p>
    <w:p w:rsidR="009A093B" w:rsidRPr="001D032A" w:rsidRDefault="009A093B" w:rsidP="009A093B">
      <w:pPr>
        <w:pStyle w:val="Bezmezer"/>
        <w:rPr>
          <w:sz w:val="20"/>
          <w:szCs w:val="20"/>
        </w:rPr>
      </w:pPr>
      <w:r w:rsidRPr="001D032A">
        <w:rPr>
          <w:sz w:val="20"/>
          <w:szCs w:val="20"/>
        </w:rPr>
        <w:t xml:space="preserve">** převzato ze zdravotních pojistných plánů </w:t>
      </w:r>
    </w:p>
    <w:p w:rsidR="003E1B90" w:rsidRPr="001D032A" w:rsidRDefault="003E1B90" w:rsidP="00D720FA">
      <w:pPr>
        <w:pStyle w:val="Nadpis3"/>
        <w:jc w:val="center"/>
      </w:pPr>
      <w:bookmarkStart w:id="116" w:name="_Toc491000260"/>
      <w:bookmarkStart w:id="117" w:name="_Toc525944180"/>
      <w:r w:rsidRPr="001D032A">
        <w:t>Zdroj: Ministerstvo zdravotnictví ČR</w:t>
      </w:r>
      <w:bookmarkEnd w:id="116"/>
      <w:bookmarkEnd w:id="117"/>
    </w:p>
    <w:p w:rsidR="00D720FA" w:rsidRPr="001D032A" w:rsidRDefault="00D720FA" w:rsidP="00D720FA">
      <w:pPr>
        <w:rPr>
          <w:sz w:val="2"/>
          <w:szCs w:val="2"/>
        </w:rPr>
      </w:pPr>
    </w:p>
    <w:p w:rsidR="003E1B90" w:rsidRPr="001D032A" w:rsidRDefault="003E1B90" w:rsidP="003E1B90">
      <w:pPr>
        <w:pStyle w:val="Nadpis3"/>
      </w:pPr>
      <w:bookmarkStart w:id="118" w:name="_Toc460456850"/>
      <w:bookmarkStart w:id="119" w:name="_Toc491000261"/>
      <w:bookmarkStart w:id="120" w:name="_Toc525944181"/>
      <w:r w:rsidRPr="001D032A">
        <w:t>Hodnocení zdravotní</w:t>
      </w:r>
      <w:bookmarkEnd w:id="118"/>
      <w:bookmarkEnd w:id="119"/>
      <w:bookmarkEnd w:id="120"/>
      <w:r w:rsidRPr="001D032A">
        <w:t xml:space="preserve"> </w:t>
      </w:r>
    </w:p>
    <w:p w:rsidR="009A093B" w:rsidRPr="001D032A" w:rsidRDefault="009A093B" w:rsidP="001D032A">
      <w:pPr>
        <w:jc w:val="both"/>
        <w:rPr>
          <w:sz w:val="24"/>
          <w:szCs w:val="24"/>
        </w:rPr>
      </w:pPr>
      <w:bookmarkStart w:id="121" w:name="_Toc460455308"/>
      <w:r w:rsidRPr="001D032A">
        <w:rPr>
          <w:sz w:val="24"/>
          <w:szCs w:val="24"/>
        </w:rPr>
        <w:t>ČPZP je zdravotní pojišťovnou s celorepublikovou působností. Síť smluvních poskytovatelů zdravotních služeb považuje ČPZP za dostatečnou. V roce 2018 ČPZP předpokládá pouze možnost doplnění počtu PZS</w:t>
      </w:r>
      <w:r w:rsidR="001D032A" w:rsidRPr="001D032A">
        <w:rPr>
          <w:sz w:val="24"/>
          <w:szCs w:val="24"/>
        </w:rPr>
        <w:t>.</w:t>
      </w:r>
    </w:p>
    <w:p w:rsidR="003E1B90" w:rsidRPr="001D032A" w:rsidRDefault="003E1B90" w:rsidP="00CC7B76">
      <w:pPr>
        <w:pStyle w:val="Nadpis3"/>
      </w:pPr>
      <w:bookmarkStart w:id="122" w:name="_Toc525944182"/>
      <w:r w:rsidRPr="001D032A">
        <w:t>Tabulka 10: Soustava smluvních poskytovatelů zdravotních služeb</w:t>
      </w:r>
      <w:bookmarkEnd w:id="121"/>
      <w:bookmarkEnd w:id="122"/>
    </w:p>
    <w:tbl>
      <w:tblPr>
        <w:tblStyle w:val="Tabulkasmkou4zvraznn1"/>
        <w:tblW w:w="9062" w:type="dxa"/>
        <w:tblLayout w:type="fixed"/>
        <w:tblLook w:val="04A0" w:firstRow="1" w:lastRow="0" w:firstColumn="1" w:lastColumn="0" w:noHBand="0" w:noVBand="1"/>
      </w:tblPr>
      <w:tblGrid>
        <w:gridCol w:w="2227"/>
        <w:gridCol w:w="977"/>
        <w:gridCol w:w="977"/>
        <w:gridCol w:w="977"/>
        <w:gridCol w:w="976"/>
        <w:gridCol w:w="976"/>
        <w:gridCol w:w="976"/>
        <w:gridCol w:w="976"/>
      </w:tblGrid>
      <w:tr w:rsidR="00CC7B76" w:rsidRPr="001D032A" w:rsidTr="00CC7B76">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CC7B76" w:rsidRPr="001D032A" w:rsidRDefault="00CC7B76" w:rsidP="003E1B90">
            <w:pPr>
              <w:jc w:val="center"/>
              <w:rPr>
                <w:rFonts w:ascii="Calibri" w:hAnsi="Calibri"/>
                <w:bCs w:val="0"/>
                <w:color w:val="FFFFFF"/>
              </w:rPr>
            </w:pPr>
            <w:r w:rsidRPr="001D032A">
              <w:rPr>
                <w:rFonts w:ascii="Calibri" w:hAnsi="Calibri"/>
                <w:bCs w:val="0"/>
                <w:color w:val="FFFFFF"/>
              </w:rPr>
              <w:t>Kategorie</w:t>
            </w:r>
          </w:p>
          <w:p w:rsidR="00CC7B76" w:rsidRPr="001D032A" w:rsidRDefault="00CC7B76" w:rsidP="003E1B90">
            <w:pPr>
              <w:jc w:val="center"/>
              <w:rPr>
                <w:rFonts w:ascii="Calibri" w:hAnsi="Calibri"/>
                <w:bCs w:val="0"/>
                <w:color w:val="FFFFFF"/>
              </w:rPr>
            </w:pPr>
            <w:r w:rsidRPr="001D032A">
              <w:rPr>
                <w:rFonts w:ascii="Calibri" w:hAnsi="Calibri"/>
                <w:bCs w:val="0"/>
                <w:color w:val="FFFFFF"/>
              </w:rPr>
              <w:t>smluvních PZS</w:t>
            </w:r>
          </w:p>
        </w:tc>
        <w:tc>
          <w:tcPr>
            <w:tcW w:w="977"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2</w:t>
            </w:r>
          </w:p>
        </w:tc>
        <w:tc>
          <w:tcPr>
            <w:tcW w:w="977"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3</w:t>
            </w:r>
          </w:p>
        </w:tc>
        <w:tc>
          <w:tcPr>
            <w:tcW w:w="977"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4</w:t>
            </w:r>
          </w:p>
        </w:tc>
        <w:tc>
          <w:tcPr>
            <w:tcW w:w="97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5</w:t>
            </w:r>
          </w:p>
        </w:tc>
        <w:tc>
          <w:tcPr>
            <w:tcW w:w="97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6</w:t>
            </w:r>
          </w:p>
        </w:tc>
        <w:tc>
          <w:tcPr>
            <w:tcW w:w="97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7</w:t>
            </w:r>
            <w:r w:rsidRPr="001D032A">
              <w:rPr>
                <w:rFonts w:ascii="Calibri" w:hAnsi="Calibri"/>
                <w:bCs w:val="0"/>
                <w:color w:val="FFFFFF"/>
              </w:rPr>
              <w:t>*</w:t>
            </w:r>
          </w:p>
        </w:tc>
        <w:tc>
          <w:tcPr>
            <w:tcW w:w="97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8</w:t>
            </w:r>
            <w:r w:rsidRPr="001D032A">
              <w:rPr>
                <w:rFonts w:ascii="Calibri" w:hAnsi="Calibri"/>
                <w:bCs w:val="0"/>
                <w:color w:val="FFFFFF"/>
              </w:rPr>
              <w:t>**</w:t>
            </w:r>
          </w:p>
        </w:tc>
      </w:tr>
      <w:tr w:rsidR="009A093B" w:rsidRPr="001D032A" w:rsidTr="009A09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9A093B" w:rsidRPr="001D032A" w:rsidRDefault="009A093B" w:rsidP="009A093B">
            <w:pPr>
              <w:rPr>
                <w:b w:val="0"/>
                <w:bCs w:val="0"/>
                <w:sz w:val="20"/>
                <w:szCs w:val="20"/>
              </w:rPr>
            </w:pPr>
            <w:r w:rsidRPr="001D032A">
              <w:rPr>
                <w:b w:val="0"/>
                <w:bCs w:val="0"/>
                <w:sz w:val="20"/>
                <w:szCs w:val="20"/>
              </w:rPr>
              <w:t>Ambulantní poskytovatelé</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22 119</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22 061</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22 097</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22 091</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22 065</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22 040</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22 059</w:t>
            </w:r>
          </w:p>
        </w:tc>
      </w:tr>
      <w:tr w:rsidR="009A093B" w:rsidRPr="001D032A" w:rsidTr="009A093B">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9A093B" w:rsidRPr="001D032A" w:rsidRDefault="009A093B" w:rsidP="009A093B">
            <w:pPr>
              <w:rPr>
                <w:b w:val="0"/>
                <w:bCs w:val="0"/>
                <w:sz w:val="20"/>
                <w:szCs w:val="20"/>
              </w:rPr>
            </w:pPr>
            <w:r w:rsidRPr="001D032A">
              <w:rPr>
                <w:b w:val="0"/>
                <w:bCs w:val="0"/>
                <w:sz w:val="20"/>
                <w:szCs w:val="20"/>
              </w:rPr>
              <w:t xml:space="preserve">Praktický lékař pro dospělé </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4 335</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4 337</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4 355</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4 356</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4 361</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4 349</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4 353</w:t>
            </w:r>
          </w:p>
        </w:tc>
      </w:tr>
      <w:tr w:rsidR="009A093B" w:rsidRPr="001D032A" w:rsidTr="009A09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9A093B" w:rsidRPr="001D032A" w:rsidRDefault="009A093B" w:rsidP="009A093B">
            <w:pPr>
              <w:rPr>
                <w:b w:val="0"/>
                <w:bCs w:val="0"/>
                <w:sz w:val="20"/>
                <w:szCs w:val="20"/>
              </w:rPr>
            </w:pPr>
            <w:r w:rsidRPr="001D032A">
              <w:rPr>
                <w:b w:val="0"/>
                <w:bCs w:val="0"/>
                <w:sz w:val="20"/>
                <w:szCs w:val="20"/>
              </w:rPr>
              <w:t xml:space="preserve">Praktický lékař pro děti a dorost </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1 888</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1 894</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1 889</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1 867</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1 844</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1 835</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1 837</w:t>
            </w:r>
          </w:p>
        </w:tc>
      </w:tr>
      <w:tr w:rsidR="009A093B" w:rsidRPr="001D032A" w:rsidTr="009A093B">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9A093B" w:rsidRPr="001D032A" w:rsidRDefault="009A093B" w:rsidP="009A093B">
            <w:pPr>
              <w:rPr>
                <w:b w:val="0"/>
                <w:bCs w:val="0"/>
                <w:sz w:val="20"/>
                <w:szCs w:val="20"/>
              </w:rPr>
            </w:pPr>
            <w:r w:rsidRPr="001D032A">
              <w:rPr>
                <w:b w:val="0"/>
                <w:bCs w:val="0"/>
                <w:sz w:val="20"/>
                <w:szCs w:val="20"/>
              </w:rPr>
              <w:t>Praktický zubní lékař</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5 418</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5 369</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5 361</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5 385</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5 387</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5 378</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5 381</w:t>
            </w:r>
          </w:p>
        </w:tc>
      </w:tr>
      <w:tr w:rsidR="009A093B" w:rsidRPr="001D032A" w:rsidTr="009A09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9A093B" w:rsidRPr="001D032A" w:rsidRDefault="009A093B" w:rsidP="009A093B">
            <w:pPr>
              <w:rPr>
                <w:b w:val="0"/>
                <w:bCs w:val="0"/>
                <w:sz w:val="20"/>
                <w:szCs w:val="20"/>
              </w:rPr>
            </w:pPr>
            <w:r w:rsidRPr="001D032A">
              <w:rPr>
                <w:b w:val="0"/>
                <w:bCs w:val="0"/>
                <w:sz w:val="20"/>
                <w:szCs w:val="20"/>
              </w:rPr>
              <w:t xml:space="preserve">Ostatní ambulantní poskytovatelé </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10 478</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10 461</w:t>
            </w:r>
          </w:p>
        </w:tc>
        <w:tc>
          <w:tcPr>
            <w:tcW w:w="97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10 492</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10 483</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10 473</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10 478</w:t>
            </w:r>
          </w:p>
        </w:tc>
        <w:tc>
          <w:tcPr>
            <w:tcW w:w="97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10 488</w:t>
            </w:r>
          </w:p>
        </w:tc>
      </w:tr>
      <w:tr w:rsidR="009A093B" w:rsidRPr="001D032A" w:rsidTr="009A093B">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9A093B" w:rsidRPr="001D032A" w:rsidRDefault="009A093B" w:rsidP="009A093B">
            <w:pPr>
              <w:rPr>
                <w:b w:val="0"/>
                <w:bCs w:val="0"/>
                <w:sz w:val="20"/>
                <w:szCs w:val="20"/>
              </w:rPr>
            </w:pPr>
            <w:r w:rsidRPr="001D032A">
              <w:rPr>
                <w:b w:val="0"/>
                <w:bCs w:val="0"/>
                <w:sz w:val="20"/>
                <w:szCs w:val="20"/>
              </w:rPr>
              <w:t xml:space="preserve">Lůžkoví poskytovatelé </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277</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275</w:t>
            </w:r>
          </w:p>
        </w:tc>
        <w:tc>
          <w:tcPr>
            <w:tcW w:w="97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271</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269</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269</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269</w:t>
            </w:r>
          </w:p>
        </w:tc>
        <w:tc>
          <w:tcPr>
            <w:tcW w:w="97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269</w:t>
            </w:r>
          </w:p>
        </w:tc>
      </w:tr>
      <w:tr w:rsidR="00CC7B76" w:rsidRPr="001D032A" w:rsidTr="00CC7B76">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CC7B76" w:rsidRPr="001D032A" w:rsidRDefault="00CC7B76" w:rsidP="00CC7B76">
            <w:pPr>
              <w:rPr>
                <w:b w:val="0"/>
                <w:bCs w:val="0"/>
                <w:sz w:val="20"/>
                <w:szCs w:val="20"/>
              </w:rPr>
            </w:pPr>
            <w:r w:rsidRPr="001D032A">
              <w:rPr>
                <w:b w:val="0"/>
                <w:bCs w:val="0"/>
                <w:sz w:val="20"/>
                <w:szCs w:val="20"/>
              </w:rPr>
              <w:t xml:space="preserve">Ostatní poskytovatelé </w:t>
            </w:r>
          </w:p>
        </w:tc>
        <w:tc>
          <w:tcPr>
            <w:tcW w:w="977"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3 104</w:t>
            </w:r>
          </w:p>
        </w:tc>
        <w:tc>
          <w:tcPr>
            <w:tcW w:w="977"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3 215</w:t>
            </w:r>
          </w:p>
        </w:tc>
        <w:tc>
          <w:tcPr>
            <w:tcW w:w="977"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3 160</w:t>
            </w:r>
          </w:p>
        </w:tc>
        <w:tc>
          <w:tcPr>
            <w:tcW w:w="97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3 054</w:t>
            </w:r>
          </w:p>
        </w:tc>
        <w:tc>
          <w:tcPr>
            <w:tcW w:w="97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3 026</w:t>
            </w:r>
          </w:p>
        </w:tc>
        <w:tc>
          <w:tcPr>
            <w:tcW w:w="97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2 964</w:t>
            </w:r>
          </w:p>
        </w:tc>
        <w:tc>
          <w:tcPr>
            <w:tcW w:w="97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2 972</w:t>
            </w:r>
          </w:p>
        </w:tc>
      </w:tr>
      <w:tr w:rsidR="00CC7B76" w:rsidRPr="001D032A" w:rsidTr="00CC7B76">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CC7B76" w:rsidRPr="001D032A" w:rsidRDefault="00CC7B76" w:rsidP="00CC7B76">
            <w:pPr>
              <w:rPr>
                <w:b w:val="0"/>
                <w:bCs w:val="0"/>
                <w:sz w:val="20"/>
                <w:szCs w:val="20"/>
              </w:rPr>
            </w:pPr>
            <w:r w:rsidRPr="001D032A">
              <w:rPr>
                <w:b w:val="0"/>
                <w:bCs w:val="0"/>
                <w:sz w:val="20"/>
                <w:szCs w:val="20"/>
              </w:rPr>
              <w:t>Celkem</w:t>
            </w:r>
          </w:p>
        </w:tc>
        <w:tc>
          <w:tcPr>
            <w:tcW w:w="977"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24 899</w:t>
            </w:r>
          </w:p>
        </w:tc>
        <w:tc>
          <w:tcPr>
            <w:tcW w:w="977"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D032A">
              <w:rPr>
                <w:b/>
                <w:bCs/>
                <w:sz w:val="20"/>
                <w:szCs w:val="20"/>
              </w:rPr>
              <w:t>25 611</w:t>
            </w:r>
          </w:p>
        </w:tc>
        <w:tc>
          <w:tcPr>
            <w:tcW w:w="977"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D032A">
              <w:rPr>
                <w:b/>
                <w:bCs/>
                <w:sz w:val="20"/>
                <w:szCs w:val="20"/>
              </w:rPr>
              <w:t>25 496</w:t>
            </w:r>
          </w:p>
        </w:tc>
        <w:tc>
          <w:tcPr>
            <w:tcW w:w="97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25 422</w:t>
            </w:r>
          </w:p>
        </w:tc>
        <w:tc>
          <w:tcPr>
            <w:tcW w:w="97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25 386</w:t>
            </w:r>
          </w:p>
        </w:tc>
        <w:tc>
          <w:tcPr>
            <w:tcW w:w="97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25 277</w:t>
            </w:r>
          </w:p>
        </w:tc>
        <w:tc>
          <w:tcPr>
            <w:tcW w:w="97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25 316</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CC7B76">
      <w:pPr>
        <w:pStyle w:val="Nadpis3"/>
        <w:jc w:val="center"/>
      </w:pPr>
      <w:bookmarkStart w:id="123" w:name="_Toc491000263"/>
      <w:bookmarkStart w:id="124" w:name="_Toc525944183"/>
      <w:r w:rsidRPr="001D032A">
        <w:t>Zdroj: Ministerstvo zdravotnictví ČR</w:t>
      </w:r>
      <w:bookmarkEnd w:id="123"/>
      <w:bookmarkEnd w:id="124"/>
    </w:p>
    <w:p w:rsidR="00CC7B76" w:rsidRPr="001D032A" w:rsidRDefault="00CC7B76" w:rsidP="00CC7B76"/>
    <w:p w:rsidR="009A093B" w:rsidRPr="001D032A" w:rsidRDefault="009A093B" w:rsidP="009A093B">
      <w:pPr>
        <w:jc w:val="both"/>
        <w:rPr>
          <w:sz w:val="24"/>
          <w:szCs w:val="24"/>
        </w:rPr>
      </w:pPr>
      <w:bookmarkStart w:id="125" w:name="_Toc460455309"/>
      <w:r w:rsidRPr="001D032A">
        <w:rPr>
          <w:sz w:val="24"/>
          <w:szCs w:val="24"/>
        </w:rPr>
        <w:lastRenderedPageBreak/>
        <w:t>Celkové náklady na zdravotní služby čerpané ze ZFZP plánuje ČPZP ve výši 30 582 mil. Kč, což představuje meziroční nárůst o 7,4 % oproti očekávané skutečnosti roku 2017. Průměrné náklady na zdravotní služby na 1 pojištěnce jsou plánovány ve výši 24 583 Kč, což v meziročním porovnání znamená nárůst o 7,2 %. Pro rok 2018 jsou plánovány nejvyšší průměrné náklady na pojištěnce posledních několika let.</w:t>
      </w:r>
    </w:p>
    <w:p w:rsidR="003E1B90" w:rsidRPr="001D032A" w:rsidRDefault="003E1B90" w:rsidP="00F44DC2">
      <w:pPr>
        <w:pStyle w:val="Nadpis3"/>
      </w:pPr>
      <w:bookmarkStart w:id="126" w:name="_Toc525944184"/>
      <w:r w:rsidRPr="001D032A">
        <w:t>Tabulka 11: Struktura nákladů na zdravotní služby podle jednotlivých segmentů</w:t>
      </w:r>
      <w:bookmarkEnd w:id="125"/>
      <w:bookmarkEnd w:id="126"/>
    </w:p>
    <w:tbl>
      <w:tblPr>
        <w:tblStyle w:val="Tabulkasmkou4zvraznn1"/>
        <w:tblW w:w="9062" w:type="dxa"/>
        <w:tblLayout w:type="fixed"/>
        <w:tblLook w:val="04A0" w:firstRow="1" w:lastRow="0" w:firstColumn="1" w:lastColumn="0" w:noHBand="0" w:noVBand="1"/>
      </w:tblPr>
      <w:tblGrid>
        <w:gridCol w:w="1671"/>
        <w:gridCol w:w="1055"/>
        <w:gridCol w:w="1056"/>
        <w:gridCol w:w="1056"/>
        <w:gridCol w:w="1056"/>
        <w:gridCol w:w="1056"/>
        <w:gridCol w:w="1056"/>
        <w:gridCol w:w="1056"/>
      </w:tblGrid>
      <w:tr w:rsidR="00CC7B76" w:rsidRPr="001D032A" w:rsidTr="00CC7B76">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CC7B76" w:rsidRPr="001D032A" w:rsidRDefault="00CC7B76" w:rsidP="003E1B90">
            <w:pPr>
              <w:jc w:val="center"/>
              <w:rPr>
                <w:rFonts w:ascii="Calibri" w:hAnsi="Calibri"/>
                <w:bCs w:val="0"/>
                <w:color w:val="FFFFFF"/>
              </w:rPr>
            </w:pPr>
            <w:r w:rsidRPr="001D032A">
              <w:rPr>
                <w:rFonts w:ascii="Calibri" w:hAnsi="Calibri"/>
                <w:bCs w:val="0"/>
                <w:color w:val="FFFFFF"/>
              </w:rPr>
              <w:t>Ukazatel</w:t>
            </w:r>
          </w:p>
          <w:p w:rsidR="00CC7B76" w:rsidRPr="001D032A" w:rsidRDefault="00CC7B76" w:rsidP="003E1B90">
            <w:pPr>
              <w:jc w:val="center"/>
              <w:rPr>
                <w:rFonts w:ascii="Calibri" w:hAnsi="Calibri"/>
                <w:bCs w:val="0"/>
                <w:color w:val="FFFFFF"/>
              </w:rPr>
            </w:pPr>
            <w:r w:rsidRPr="001D032A">
              <w:rPr>
                <w:rFonts w:ascii="Calibri" w:hAnsi="Calibri"/>
                <w:bCs w:val="0"/>
                <w:color w:val="FFFFFF"/>
              </w:rPr>
              <w:t>(v mil. Kč)</w:t>
            </w:r>
          </w:p>
        </w:tc>
        <w:tc>
          <w:tcPr>
            <w:tcW w:w="1055"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2011</w:t>
            </w:r>
          </w:p>
        </w:tc>
        <w:tc>
          <w:tcPr>
            <w:tcW w:w="105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2012</w:t>
            </w:r>
          </w:p>
        </w:tc>
        <w:tc>
          <w:tcPr>
            <w:tcW w:w="105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2013</w:t>
            </w:r>
          </w:p>
        </w:tc>
        <w:tc>
          <w:tcPr>
            <w:tcW w:w="105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2014</w:t>
            </w:r>
          </w:p>
        </w:tc>
        <w:tc>
          <w:tcPr>
            <w:tcW w:w="105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2015</w:t>
            </w:r>
          </w:p>
        </w:tc>
        <w:tc>
          <w:tcPr>
            <w:tcW w:w="105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2016*</w:t>
            </w:r>
          </w:p>
        </w:tc>
        <w:tc>
          <w:tcPr>
            <w:tcW w:w="1056" w:type="dxa"/>
            <w:vAlign w:val="center"/>
          </w:tcPr>
          <w:p w:rsidR="00CC7B76" w:rsidRPr="001D032A" w:rsidRDefault="00CC7B76"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2017**</w:t>
            </w:r>
          </w:p>
        </w:tc>
      </w:tr>
      <w:tr w:rsidR="00CC7B76" w:rsidRPr="001D032A" w:rsidTr="00CC7B76">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CC7B76" w:rsidRPr="001D032A" w:rsidRDefault="00CC7B76" w:rsidP="00CC7B76">
            <w:pPr>
              <w:rPr>
                <w:rFonts w:ascii="Calibri" w:hAnsi="Calibri"/>
                <w:b w:val="0"/>
                <w:sz w:val="20"/>
                <w:szCs w:val="20"/>
              </w:rPr>
            </w:pPr>
            <w:r w:rsidRPr="001D032A">
              <w:rPr>
                <w:rFonts w:ascii="Calibri" w:hAnsi="Calibri"/>
                <w:b w:val="0"/>
                <w:sz w:val="20"/>
                <w:szCs w:val="20"/>
              </w:rPr>
              <w:t>Náklady na ambulantní péči</w:t>
            </w:r>
          </w:p>
        </w:tc>
        <w:tc>
          <w:tcPr>
            <w:tcW w:w="1055"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4 222</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4 882</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6 882</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7 690</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7 927</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8 388</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8 717</w:t>
            </w:r>
          </w:p>
        </w:tc>
      </w:tr>
      <w:tr w:rsidR="00CC7B76" w:rsidRPr="001D032A" w:rsidTr="00CC7B76">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CC7B76" w:rsidRPr="001D032A" w:rsidRDefault="00CC7B76" w:rsidP="00CC7B76">
            <w:pPr>
              <w:rPr>
                <w:rFonts w:ascii="Calibri" w:hAnsi="Calibri"/>
                <w:b w:val="0"/>
                <w:sz w:val="20"/>
                <w:szCs w:val="20"/>
              </w:rPr>
            </w:pPr>
            <w:r w:rsidRPr="001D032A">
              <w:rPr>
                <w:rFonts w:ascii="Calibri" w:hAnsi="Calibri"/>
                <w:b w:val="0"/>
                <w:sz w:val="20"/>
                <w:szCs w:val="20"/>
              </w:rPr>
              <w:t>Náklady na lůžkovou péči</w:t>
            </w:r>
          </w:p>
        </w:tc>
        <w:tc>
          <w:tcPr>
            <w:tcW w:w="1055"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6 448</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7 565</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D032A">
              <w:rPr>
                <w:rFonts w:ascii="Calibri" w:hAnsi="Calibri"/>
                <w:sz w:val="20"/>
                <w:szCs w:val="20"/>
              </w:rPr>
              <w:t>10 401</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12 105</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D032A">
              <w:rPr>
                <w:color w:val="000000"/>
                <w:sz w:val="20"/>
                <w:szCs w:val="20"/>
              </w:rPr>
              <w:t>12 252</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D032A">
              <w:rPr>
                <w:sz w:val="20"/>
                <w:szCs w:val="20"/>
              </w:rPr>
              <w:t>12 928</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1D032A">
              <w:rPr>
                <w:sz w:val="20"/>
                <w:szCs w:val="20"/>
              </w:rPr>
              <w:t>13 833</w:t>
            </w:r>
          </w:p>
        </w:tc>
      </w:tr>
      <w:tr w:rsidR="00CC7B76" w:rsidRPr="001D032A" w:rsidTr="00CC7B76">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CC7B76" w:rsidRPr="001D032A" w:rsidRDefault="00CC7B76" w:rsidP="00CC7B76">
            <w:pPr>
              <w:rPr>
                <w:rFonts w:ascii="Calibri" w:hAnsi="Calibri"/>
                <w:b w:val="0"/>
                <w:sz w:val="20"/>
                <w:szCs w:val="20"/>
              </w:rPr>
            </w:pPr>
            <w:r w:rsidRPr="001D032A">
              <w:rPr>
                <w:rFonts w:ascii="Calibri" w:hAnsi="Calibri"/>
                <w:b w:val="0"/>
                <w:sz w:val="20"/>
                <w:szCs w:val="20"/>
              </w:rPr>
              <w:t>Ostatní náklady</w:t>
            </w:r>
          </w:p>
        </w:tc>
        <w:tc>
          <w:tcPr>
            <w:tcW w:w="1055"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2 939</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3 555</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D032A">
              <w:rPr>
                <w:rFonts w:ascii="Calibri" w:hAnsi="Calibri"/>
                <w:sz w:val="20"/>
                <w:szCs w:val="20"/>
              </w:rPr>
              <w:t>4 713</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1D032A">
              <w:rPr>
                <w:rFonts w:ascii="Calibri" w:hAnsi="Calibri"/>
                <w:color w:val="000000"/>
                <w:sz w:val="20"/>
                <w:szCs w:val="20"/>
              </w:rPr>
              <w:t>4 897</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D032A">
              <w:rPr>
                <w:color w:val="000000"/>
                <w:sz w:val="20"/>
                <w:szCs w:val="20"/>
              </w:rPr>
              <w:t>5 008</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5 135</w:t>
            </w:r>
          </w:p>
        </w:tc>
        <w:tc>
          <w:tcPr>
            <w:tcW w:w="1056" w:type="dxa"/>
            <w:vAlign w:val="center"/>
          </w:tcPr>
          <w:p w:rsidR="00CC7B76" w:rsidRPr="001D032A" w:rsidRDefault="00CC7B76" w:rsidP="005E55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032A">
              <w:rPr>
                <w:sz w:val="20"/>
                <w:szCs w:val="20"/>
              </w:rPr>
              <w:t>5 241</w:t>
            </w:r>
          </w:p>
        </w:tc>
      </w:tr>
      <w:tr w:rsidR="00CC7B76" w:rsidRPr="001D032A" w:rsidTr="00CC7B76">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CC7B76" w:rsidRPr="001D032A" w:rsidRDefault="00CC7B76" w:rsidP="00CC7B76">
            <w:pPr>
              <w:rPr>
                <w:rFonts w:ascii="Calibri" w:hAnsi="Calibri"/>
                <w:b w:val="0"/>
                <w:sz w:val="20"/>
                <w:szCs w:val="20"/>
              </w:rPr>
            </w:pPr>
            <w:r w:rsidRPr="001D032A">
              <w:rPr>
                <w:rFonts w:ascii="Calibri" w:hAnsi="Calibri"/>
                <w:b w:val="0"/>
                <w:sz w:val="20"/>
                <w:szCs w:val="20"/>
              </w:rPr>
              <w:t>Celkové náklady</w:t>
            </w:r>
          </w:p>
        </w:tc>
        <w:tc>
          <w:tcPr>
            <w:tcW w:w="1055"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1D032A">
              <w:rPr>
                <w:rFonts w:ascii="Calibri" w:hAnsi="Calibri"/>
                <w:b/>
                <w:color w:val="000000"/>
                <w:sz w:val="20"/>
                <w:szCs w:val="20"/>
              </w:rPr>
              <w:t>13 609</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1D032A">
              <w:rPr>
                <w:rFonts w:ascii="Calibri" w:hAnsi="Calibri"/>
                <w:b/>
                <w:bCs/>
                <w:sz w:val="20"/>
                <w:szCs w:val="20"/>
              </w:rPr>
              <w:t>16 002</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1D032A">
              <w:rPr>
                <w:rFonts w:ascii="Calibri" w:hAnsi="Calibri"/>
                <w:b/>
                <w:bCs/>
                <w:sz w:val="20"/>
                <w:szCs w:val="20"/>
              </w:rPr>
              <w:t>21 996</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D032A">
              <w:rPr>
                <w:rFonts w:ascii="Calibri" w:hAnsi="Calibri"/>
                <w:b/>
                <w:bCs/>
                <w:color w:val="000000"/>
                <w:sz w:val="20"/>
                <w:szCs w:val="20"/>
              </w:rPr>
              <w:t>24 692</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25 187</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26 451</w:t>
            </w:r>
          </w:p>
        </w:tc>
        <w:tc>
          <w:tcPr>
            <w:tcW w:w="1056" w:type="dxa"/>
            <w:vAlign w:val="center"/>
          </w:tcPr>
          <w:p w:rsidR="00CC7B76" w:rsidRPr="001D032A" w:rsidRDefault="00CC7B76" w:rsidP="005E5530">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1D032A">
              <w:rPr>
                <w:b/>
                <w:bCs/>
                <w:color w:val="000000"/>
                <w:sz w:val="20"/>
                <w:szCs w:val="20"/>
              </w:rPr>
              <w:t>27 791</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CC7B76">
      <w:pPr>
        <w:pStyle w:val="Nadpis3"/>
        <w:jc w:val="center"/>
      </w:pPr>
      <w:bookmarkStart w:id="127" w:name="_Toc491000265"/>
      <w:bookmarkStart w:id="128" w:name="_Toc525944185"/>
      <w:r w:rsidRPr="001D032A">
        <w:t>Zdroj: Ministerstvo zdravotnictví ČR</w:t>
      </w:r>
      <w:bookmarkEnd w:id="127"/>
      <w:bookmarkEnd w:id="128"/>
    </w:p>
    <w:p w:rsidR="00CC7B76" w:rsidRPr="001D032A" w:rsidRDefault="00CC7B76" w:rsidP="00CC7B76"/>
    <w:p w:rsidR="009A093B" w:rsidRPr="001D032A" w:rsidRDefault="009A093B" w:rsidP="009A093B">
      <w:pPr>
        <w:jc w:val="both"/>
        <w:rPr>
          <w:sz w:val="24"/>
          <w:szCs w:val="24"/>
        </w:rPr>
      </w:pPr>
      <w:bookmarkStart w:id="129" w:name="_Toc460455310"/>
      <w:r w:rsidRPr="001D032A">
        <w:rPr>
          <w:sz w:val="24"/>
          <w:szCs w:val="24"/>
        </w:rPr>
        <w:t xml:space="preserve">Náklady na preventivní péči čerpané z Fprev plánuje ČPZP ve výši 214,0 mil. Kč, tj. meziroční nárůst nákladů o 35,2 %, v absolutním vyjádření o 55,7 mil. Kč. </w:t>
      </w:r>
    </w:p>
    <w:p w:rsidR="009A093B" w:rsidRPr="001D032A" w:rsidRDefault="009A093B" w:rsidP="009A093B">
      <w:pPr>
        <w:jc w:val="both"/>
        <w:rPr>
          <w:sz w:val="24"/>
          <w:szCs w:val="24"/>
        </w:rPr>
      </w:pPr>
      <w:r w:rsidRPr="001D032A">
        <w:rPr>
          <w:sz w:val="24"/>
          <w:szCs w:val="24"/>
        </w:rPr>
        <w:t xml:space="preserve">Program prevence pro rok 2018 je členěn do tří základních skupin. První skupina zahrnuje zdravotně preventivní programy. Do druhé skupiny jsou zařazeny ozdravné pobyty. Do třetí skupiny jsou zařazeny ostatní činnosti, na které ČPZP od roku 2011 nevydává žádné náklady. </w:t>
      </w:r>
    </w:p>
    <w:p w:rsidR="003E1B90" w:rsidRPr="001D032A" w:rsidRDefault="003E1B90" w:rsidP="00F44DC2">
      <w:pPr>
        <w:pStyle w:val="Nadpis3"/>
      </w:pPr>
      <w:bookmarkStart w:id="130" w:name="_Toc525944186"/>
      <w:r w:rsidRPr="001D032A">
        <w:t>Tabulka 12: Náklady na preventivní zdravotní péči čerpané z fondu prevence</w:t>
      </w:r>
      <w:bookmarkEnd w:id="129"/>
      <w:bookmarkEnd w:id="130"/>
    </w:p>
    <w:tbl>
      <w:tblPr>
        <w:tblStyle w:val="Tabulkasmkou4zvraznn1"/>
        <w:tblW w:w="9062" w:type="dxa"/>
        <w:tblLayout w:type="fixed"/>
        <w:tblLook w:val="04A0" w:firstRow="1" w:lastRow="0" w:firstColumn="1" w:lastColumn="0" w:noHBand="0" w:noVBand="1"/>
      </w:tblPr>
      <w:tblGrid>
        <w:gridCol w:w="2300"/>
        <w:gridCol w:w="965"/>
        <w:gridCol w:w="965"/>
        <w:gridCol w:w="966"/>
        <w:gridCol w:w="967"/>
        <w:gridCol w:w="967"/>
        <w:gridCol w:w="966"/>
        <w:gridCol w:w="966"/>
      </w:tblGrid>
      <w:tr w:rsidR="00F44DC2" w:rsidRPr="001D032A" w:rsidTr="00F44DC2">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00" w:type="dxa"/>
            <w:vAlign w:val="center"/>
          </w:tcPr>
          <w:p w:rsidR="00F44DC2" w:rsidRPr="001D032A" w:rsidRDefault="00F44DC2" w:rsidP="003E1B90">
            <w:pPr>
              <w:pStyle w:val="Zkladntext"/>
              <w:spacing w:after="0" w:line="280" w:lineRule="atLeast"/>
              <w:jc w:val="center"/>
              <w:rPr>
                <w:rFonts w:ascii="Calibri" w:hAnsi="Calibri" w:cs="Arial"/>
                <w:bCs w:val="0"/>
                <w:color w:val="FFFFFF"/>
                <w:sz w:val="24"/>
                <w:lang w:val="cs-CZ"/>
              </w:rPr>
            </w:pPr>
            <w:r w:rsidRPr="001D032A">
              <w:rPr>
                <w:rFonts w:ascii="Calibri" w:hAnsi="Calibri" w:cs="Arial"/>
                <w:bCs w:val="0"/>
                <w:color w:val="FFFFFF"/>
                <w:sz w:val="24"/>
                <w:lang w:val="cs-CZ"/>
              </w:rPr>
              <w:t>Ukazatel</w:t>
            </w:r>
          </w:p>
          <w:p w:rsidR="00F44DC2" w:rsidRPr="001D032A" w:rsidRDefault="00F44DC2" w:rsidP="003E1B90">
            <w:pPr>
              <w:pStyle w:val="Zkladntext"/>
              <w:spacing w:after="0" w:line="280" w:lineRule="atLeast"/>
              <w:jc w:val="center"/>
              <w:rPr>
                <w:rFonts w:ascii="Calibri" w:hAnsi="Calibri" w:cs="Arial"/>
                <w:bCs w:val="0"/>
                <w:color w:val="FFFFFF"/>
                <w:sz w:val="24"/>
                <w:lang w:val="cs-CZ"/>
              </w:rPr>
            </w:pPr>
            <w:r w:rsidRPr="001D032A">
              <w:rPr>
                <w:rFonts w:ascii="Calibri" w:hAnsi="Calibri" w:cs="Arial"/>
                <w:bCs w:val="0"/>
                <w:color w:val="FFFFFF"/>
                <w:sz w:val="24"/>
                <w:lang w:val="cs-CZ"/>
              </w:rPr>
              <w:t>(</w:t>
            </w:r>
            <w:r w:rsidR="001D032A" w:rsidRPr="001D032A">
              <w:rPr>
                <w:rFonts w:ascii="Calibri" w:hAnsi="Calibri" w:cs="Arial"/>
                <w:bCs w:val="0"/>
                <w:color w:val="FFFFFF"/>
                <w:sz w:val="24"/>
                <w:lang w:val="cs-CZ"/>
              </w:rPr>
              <w:t>v mil.</w:t>
            </w:r>
            <w:r w:rsidRPr="001D032A">
              <w:rPr>
                <w:rFonts w:ascii="Calibri" w:hAnsi="Calibri" w:cs="Arial"/>
                <w:bCs w:val="0"/>
                <w:color w:val="FFFFFF"/>
                <w:sz w:val="24"/>
                <w:lang w:val="cs-CZ"/>
              </w:rPr>
              <w:t xml:space="preserve"> Kč)</w:t>
            </w:r>
          </w:p>
        </w:tc>
        <w:tc>
          <w:tcPr>
            <w:tcW w:w="965"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2</w:t>
            </w:r>
          </w:p>
        </w:tc>
        <w:tc>
          <w:tcPr>
            <w:tcW w:w="965"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3</w:t>
            </w:r>
          </w:p>
        </w:tc>
        <w:tc>
          <w:tcPr>
            <w:tcW w:w="966"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4</w:t>
            </w:r>
          </w:p>
        </w:tc>
        <w:tc>
          <w:tcPr>
            <w:tcW w:w="967"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5</w:t>
            </w:r>
          </w:p>
        </w:tc>
        <w:tc>
          <w:tcPr>
            <w:tcW w:w="967"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6</w:t>
            </w:r>
          </w:p>
        </w:tc>
        <w:tc>
          <w:tcPr>
            <w:tcW w:w="966"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7</w:t>
            </w:r>
            <w:r w:rsidRPr="001D032A">
              <w:rPr>
                <w:rFonts w:ascii="Calibri" w:hAnsi="Calibri"/>
                <w:bCs w:val="0"/>
                <w:color w:val="FFFFFF"/>
              </w:rPr>
              <w:t>*</w:t>
            </w:r>
          </w:p>
        </w:tc>
        <w:tc>
          <w:tcPr>
            <w:tcW w:w="966" w:type="dxa"/>
            <w:vAlign w:val="center"/>
          </w:tcPr>
          <w:p w:rsidR="00F44DC2" w:rsidRPr="001D032A" w:rsidRDefault="00F44DC2"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9A093B" w:rsidRPr="001D032A">
              <w:rPr>
                <w:rFonts w:ascii="Calibri" w:hAnsi="Calibri"/>
                <w:bCs w:val="0"/>
                <w:color w:val="FFFFFF"/>
              </w:rPr>
              <w:t>8</w:t>
            </w:r>
            <w:r w:rsidRPr="001D032A">
              <w:rPr>
                <w:rFonts w:ascii="Calibri" w:hAnsi="Calibri"/>
                <w:bCs w:val="0"/>
                <w:color w:val="FFFFFF"/>
              </w:rPr>
              <w:t>**</w:t>
            </w:r>
          </w:p>
        </w:tc>
      </w:tr>
      <w:tr w:rsidR="009A093B" w:rsidRPr="001D032A" w:rsidTr="009A09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00" w:type="dxa"/>
            <w:vAlign w:val="center"/>
          </w:tcPr>
          <w:p w:rsidR="009A093B" w:rsidRPr="001D032A" w:rsidRDefault="009A093B" w:rsidP="009A093B">
            <w:pPr>
              <w:rPr>
                <w:rFonts w:ascii="Calibri" w:hAnsi="Calibri"/>
                <w:b w:val="0"/>
                <w:bCs w:val="0"/>
                <w:sz w:val="20"/>
                <w:szCs w:val="20"/>
              </w:rPr>
            </w:pPr>
            <w:r w:rsidRPr="001D032A">
              <w:rPr>
                <w:rFonts w:ascii="Calibri" w:hAnsi="Calibri"/>
                <w:b w:val="0"/>
                <w:bCs w:val="0"/>
                <w:sz w:val="20"/>
                <w:szCs w:val="20"/>
              </w:rPr>
              <w:t>Náklady na zdravotní programy</w:t>
            </w:r>
          </w:p>
        </w:tc>
        <w:tc>
          <w:tcPr>
            <w:tcW w:w="965"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110</w:t>
            </w:r>
          </w:p>
        </w:tc>
        <w:tc>
          <w:tcPr>
            <w:tcW w:w="965"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200</w:t>
            </w:r>
          </w:p>
        </w:tc>
        <w:tc>
          <w:tcPr>
            <w:tcW w:w="96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193</w:t>
            </w:r>
          </w:p>
        </w:tc>
        <w:tc>
          <w:tcPr>
            <w:tcW w:w="96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102</w:t>
            </w:r>
          </w:p>
        </w:tc>
        <w:tc>
          <w:tcPr>
            <w:tcW w:w="96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95</w:t>
            </w:r>
          </w:p>
        </w:tc>
        <w:tc>
          <w:tcPr>
            <w:tcW w:w="96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148</w:t>
            </w:r>
          </w:p>
        </w:tc>
        <w:tc>
          <w:tcPr>
            <w:tcW w:w="96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203</w:t>
            </w:r>
          </w:p>
        </w:tc>
      </w:tr>
      <w:tr w:rsidR="009A093B" w:rsidRPr="001D032A" w:rsidTr="009A093B">
        <w:trPr>
          <w:trHeight w:val="586"/>
        </w:trPr>
        <w:tc>
          <w:tcPr>
            <w:cnfStyle w:val="001000000000" w:firstRow="0" w:lastRow="0" w:firstColumn="1" w:lastColumn="0" w:oddVBand="0" w:evenVBand="0" w:oddHBand="0" w:evenHBand="0" w:firstRowFirstColumn="0" w:firstRowLastColumn="0" w:lastRowFirstColumn="0" w:lastRowLastColumn="0"/>
            <w:tcW w:w="2300" w:type="dxa"/>
            <w:vAlign w:val="center"/>
          </w:tcPr>
          <w:p w:rsidR="009A093B" w:rsidRPr="001D032A" w:rsidRDefault="009A093B" w:rsidP="009A093B">
            <w:pPr>
              <w:rPr>
                <w:rFonts w:ascii="Calibri" w:hAnsi="Calibri"/>
                <w:b w:val="0"/>
                <w:bCs w:val="0"/>
                <w:sz w:val="20"/>
                <w:szCs w:val="20"/>
              </w:rPr>
            </w:pPr>
            <w:r w:rsidRPr="001D032A">
              <w:rPr>
                <w:rFonts w:ascii="Calibri" w:hAnsi="Calibri"/>
                <w:b w:val="0"/>
                <w:bCs w:val="0"/>
                <w:sz w:val="20"/>
                <w:szCs w:val="20"/>
              </w:rPr>
              <w:t>Náklady na ozdravné pobyty</w:t>
            </w:r>
          </w:p>
        </w:tc>
        <w:tc>
          <w:tcPr>
            <w:tcW w:w="965"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7</w:t>
            </w:r>
          </w:p>
        </w:tc>
        <w:tc>
          <w:tcPr>
            <w:tcW w:w="965"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9</w:t>
            </w:r>
          </w:p>
        </w:tc>
        <w:tc>
          <w:tcPr>
            <w:tcW w:w="96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10</w:t>
            </w:r>
          </w:p>
        </w:tc>
        <w:tc>
          <w:tcPr>
            <w:tcW w:w="96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11</w:t>
            </w:r>
          </w:p>
        </w:tc>
        <w:tc>
          <w:tcPr>
            <w:tcW w:w="96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11</w:t>
            </w:r>
          </w:p>
        </w:tc>
        <w:tc>
          <w:tcPr>
            <w:tcW w:w="96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11</w:t>
            </w:r>
          </w:p>
        </w:tc>
        <w:tc>
          <w:tcPr>
            <w:tcW w:w="96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11</w:t>
            </w:r>
          </w:p>
        </w:tc>
      </w:tr>
      <w:tr w:rsidR="009A093B" w:rsidRPr="001D032A" w:rsidTr="009A09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00" w:type="dxa"/>
            <w:vAlign w:val="center"/>
          </w:tcPr>
          <w:p w:rsidR="009A093B" w:rsidRPr="001D032A" w:rsidRDefault="009A093B" w:rsidP="009A093B">
            <w:pPr>
              <w:rPr>
                <w:rFonts w:ascii="Calibri" w:hAnsi="Calibri"/>
                <w:b w:val="0"/>
                <w:bCs w:val="0"/>
                <w:sz w:val="20"/>
                <w:szCs w:val="20"/>
              </w:rPr>
            </w:pPr>
            <w:r w:rsidRPr="001D032A">
              <w:rPr>
                <w:rFonts w:ascii="Calibri" w:hAnsi="Calibri"/>
                <w:b w:val="0"/>
                <w:bCs w:val="0"/>
                <w:sz w:val="20"/>
                <w:szCs w:val="20"/>
              </w:rPr>
              <w:t>Ostatní činnosti</w:t>
            </w:r>
          </w:p>
        </w:tc>
        <w:tc>
          <w:tcPr>
            <w:tcW w:w="965"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65"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6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6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67"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6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66" w:type="dxa"/>
            <w:vAlign w:val="center"/>
          </w:tcPr>
          <w:p w:rsidR="009A093B" w:rsidRPr="001D032A" w:rsidRDefault="009A093B" w:rsidP="009A093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r>
      <w:tr w:rsidR="009A093B" w:rsidRPr="001D032A" w:rsidTr="009A093B">
        <w:trPr>
          <w:trHeight w:val="586"/>
        </w:trPr>
        <w:tc>
          <w:tcPr>
            <w:cnfStyle w:val="001000000000" w:firstRow="0" w:lastRow="0" w:firstColumn="1" w:lastColumn="0" w:oddVBand="0" w:evenVBand="0" w:oddHBand="0" w:evenHBand="0" w:firstRowFirstColumn="0" w:firstRowLastColumn="0" w:lastRowFirstColumn="0" w:lastRowLastColumn="0"/>
            <w:tcW w:w="2300" w:type="dxa"/>
            <w:vAlign w:val="center"/>
          </w:tcPr>
          <w:p w:rsidR="009A093B" w:rsidRPr="001D032A" w:rsidRDefault="009A093B" w:rsidP="009A093B">
            <w:pPr>
              <w:rPr>
                <w:rFonts w:ascii="Calibri" w:hAnsi="Calibri"/>
                <w:b w:val="0"/>
                <w:bCs w:val="0"/>
                <w:sz w:val="20"/>
                <w:szCs w:val="20"/>
              </w:rPr>
            </w:pPr>
            <w:r w:rsidRPr="001D032A">
              <w:rPr>
                <w:rFonts w:ascii="Calibri" w:hAnsi="Calibri"/>
                <w:b w:val="0"/>
                <w:bCs w:val="0"/>
                <w:sz w:val="20"/>
                <w:szCs w:val="20"/>
              </w:rPr>
              <w:t>Celkové náklady na preventivní zdravotní péči</w:t>
            </w:r>
          </w:p>
        </w:tc>
        <w:tc>
          <w:tcPr>
            <w:tcW w:w="965"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117</w:t>
            </w:r>
          </w:p>
        </w:tc>
        <w:tc>
          <w:tcPr>
            <w:tcW w:w="965"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209</w:t>
            </w:r>
          </w:p>
        </w:tc>
        <w:tc>
          <w:tcPr>
            <w:tcW w:w="96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203</w:t>
            </w:r>
          </w:p>
        </w:tc>
        <w:tc>
          <w:tcPr>
            <w:tcW w:w="96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112</w:t>
            </w:r>
          </w:p>
        </w:tc>
        <w:tc>
          <w:tcPr>
            <w:tcW w:w="967"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105</w:t>
            </w:r>
          </w:p>
        </w:tc>
        <w:tc>
          <w:tcPr>
            <w:tcW w:w="96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158</w:t>
            </w:r>
          </w:p>
        </w:tc>
        <w:tc>
          <w:tcPr>
            <w:tcW w:w="966" w:type="dxa"/>
            <w:vAlign w:val="center"/>
          </w:tcPr>
          <w:p w:rsidR="009A093B" w:rsidRPr="001D032A" w:rsidRDefault="009A093B" w:rsidP="009A093B">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214</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F44DC2">
      <w:pPr>
        <w:pStyle w:val="Nadpis3"/>
        <w:jc w:val="center"/>
      </w:pPr>
      <w:bookmarkStart w:id="131" w:name="_Toc491000267"/>
      <w:bookmarkStart w:id="132" w:name="_Toc525944187"/>
      <w:r w:rsidRPr="001D032A">
        <w:t>Zdroj: Ministerstvo zdravotnictví ČR</w:t>
      </w:r>
      <w:bookmarkEnd w:id="131"/>
      <w:bookmarkEnd w:id="132"/>
    </w:p>
    <w:p w:rsidR="00F44DC2" w:rsidRPr="001D032A" w:rsidRDefault="00F44DC2" w:rsidP="00F44DC2"/>
    <w:p w:rsidR="003E1B90" w:rsidRPr="001D032A" w:rsidRDefault="003E1B90" w:rsidP="003E1B90">
      <w:pPr>
        <w:pStyle w:val="Nadpis3"/>
      </w:pPr>
      <w:bookmarkStart w:id="133" w:name="_Toc460456851"/>
      <w:bookmarkStart w:id="134" w:name="_Toc491000268"/>
      <w:bookmarkStart w:id="135" w:name="_Toc525944188"/>
      <w:r w:rsidRPr="001D032A">
        <w:t>Závěr</w:t>
      </w:r>
      <w:bookmarkEnd w:id="133"/>
      <w:bookmarkEnd w:id="134"/>
      <w:bookmarkEnd w:id="135"/>
    </w:p>
    <w:p w:rsidR="00AD35C5" w:rsidRPr="001D032A" w:rsidRDefault="00AD35C5" w:rsidP="00AD35C5">
      <w:pPr>
        <w:jc w:val="both"/>
        <w:rPr>
          <w:sz w:val="24"/>
          <w:szCs w:val="24"/>
        </w:rPr>
      </w:pPr>
      <w:r w:rsidRPr="001D032A">
        <w:rPr>
          <w:sz w:val="24"/>
          <w:szCs w:val="24"/>
        </w:rPr>
        <w:t xml:space="preserve">Ministerstvo zdravotnictví ověřilo soulad plánovaných nákladů na jednotlivé segmenty s modelovaným dopadem úhradové vyhlášky na rok 2018. V případě ČPZP lze konstatovat, že </w:t>
      </w:r>
      <w:r w:rsidRPr="001D032A">
        <w:rPr>
          <w:sz w:val="24"/>
          <w:szCs w:val="24"/>
        </w:rPr>
        <w:lastRenderedPageBreak/>
        <w:t>struktura nákladů dle segmentů umožňuje naplnění cílů úhradové vyhlášky pro rok 2018 v případě jejího dodržení. Na nákladové i příjmové straně existuje shoda mezi predikcí MZ a ZPP. Saldo roku 2018 se očekává jako mírně přebytkové.</w:t>
      </w:r>
    </w:p>
    <w:p w:rsidR="00F44DC2" w:rsidRPr="001D032A" w:rsidRDefault="00F44DC2" w:rsidP="00F44DC2">
      <w:pPr>
        <w:pStyle w:val="Nadpis2"/>
      </w:pPr>
    </w:p>
    <w:p w:rsidR="003E1B90" w:rsidRPr="001D032A" w:rsidRDefault="005A1CC4" w:rsidP="00F44DC2">
      <w:pPr>
        <w:pStyle w:val="Nadpis2"/>
      </w:pPr>
      <w:hyperlink r:id="rId24" w:history="1">
        <w:bookmarkStart w:id="136" w:name="_Toc460456852"/>
        <w:bookmarkStart w:id="137" w:name="_Toc525944504"/>
        <w:r w:rsidR="003E1B90" w:rsidRPr="001D032A">
          <w:rPr>
            <w:rStyle w:val="Hypertextovodkaz"/>
            <w:color w:val="7B230B" w:themeColor="accent1" w:themeShade="BF"/>
            <w:u w:val="none"/>
          </w:rPr>
          <w:t xml:space="preserve">Oborová zdravotní pojišťovna </w:t>
        </w:r>
      </w:hyperlink>
      <w:r w:rsidR="003E1B90" w:rsidRPr="001D032A">
        <w:t>(OZP)</w:t>
      </w:r>
      <w:bookmarkEnd w:id="136"/>
      <w:bookmarkEnd w:id="137"/>
    </w:p>
    <w:p w:rsidR="003E1B90" w:rsidRPr="001D032A" w:rsidRDefault="003E1B90" w:rsidP="00F44DC2">
      <w:pPr>
        <w:pStyle w:val="Nadpis3"/>
      </w:pPr>
      <w:bookmarkStart w:id="138" w:name="_Toc460456853"/>
      <w:bookmarkStart w:id="139" w:name="_Toc491000269"/>
      <w:bookmarkStart w:id="140" w:name="_Toc525944189"/>
      <w:r w:rsidRPr="001D032A">
        <w:t>Hodnocení ekonomické</w:t>
      </w:r>
      <w:bookmarkEnd w:id="138"/>
      <w:bookmarkEnd w:id="139"/>
      <w:bookmarkEnd w:id="140"/>
    </w:p>
    <w:p w:rsidR="00AD35C5" w:rsidRPr="001D032A" w:rsidRDefault="00AD35C5" w:rsidP="00AD35C5">
      <w:pPr>
        <w:jc w:val="both"/>
        <w:rPr>
          <w:sz w:val="24"/>
          <w:szCs w:val="24"/>
        </w:rPr>
      </w:pPr>
      <w:bookmarkStart w:id="141" w:name="_Toc460455311"/>
      <w:r w:rsidRPr="001D032A">
        <w:rPr>
          <w:sz w:val="24"/>
          <w:szCs w:val="24"/>
        </w:rPr>
        <w:t xml:space="preserve">ZPP 2018 je sestaven jako mírně deficitní v hodnotě −16 mil. Kč, což představuje zhoršení hospodářského výsledku oproti roku 2017, kdy OZP očekává kladné saldo 532 mil. Kč. Tento nepříznivý vývoj je způsoben očekávaným expanzivním nastavením úhradové vyhlášky na výdaje na zdravotní služby v roce 2018, novým systémem přerozdělování pojistného a realizací odložených investičních akcí v oblasti ICT. Zůstatky na bankovních účtech fondů OZP se vzhledem k plánovanému hospodářskému výsledku téměř nezmění a budou se stále pohybovat okolo 2,9 mld. Kč, což by v roce 2018 představovalo pokrytí ekvivalentu </w:t>
      </w:r>
      <w:r w:rsidR="0051683A">
        <w:rPr>
          <w:sz w:val="24"/>
          <w:szCs w:val="24"/>
        </w:rPr>
        <w:t>29</w:t>
      </w:r>
      <w:r w:rsidRPr="001D032A">
        <w:rPr>
          <w:sz w:val="24"/>
          <w:szCs w:val="24"/>
        </w:rPr>
        <w:t xml:space="preserve"> denních výdajů na zdravotní služby ze ZFZP (došlo by tak k mírnému meziročnímu poklesu z 31 dní).</w:t>
      </w:r>
    </w:p>
    <w:p w:rsidR="00AD35C5" w:rsidRPr="001D032A" w:rsidRDefault="00AD35C5" w:rsidP="00AD35C5">
      <w:pPr>
        <w:jc w:val="both"/>
        <w:rPr>
          <w:sz w:val="24"/>
          <w:szCs w:val="24"/>
        </w:rPr>
      </w:pPr>
      <w:r w:rsidRPr="001D032A">
        <w:rPr>
          <w:sz w:val="24"/>
          <w:szCs w:val="24"/>
        </w:rPr>
        <w:t xml:space="preserve">Celkové příjmy pak meziročně porostou o 3,3 % z 17,8 na 18,4 mld. Kč v roce 2018, kde nejvýznamnější položkou je pojistné po přerozdělování, které vzroste z 17,6 na 18,2 mld. Kč. I nadále se bude prohlubovat negativní trend vlivu přerozdělování pojistného na příjmovou stranu ZFZP. OZP pro rok 2018 očekává, že z něj získá o 1,4 mld. Kč méně, než do něj odvede na vybraném pojistném. Při srovnání s rokem 2017 je to o 55 % více, což je zapříčiněno aplikací nového modelu přerozdělení PCG, který zohledňuje chronické nemoci spojené s vyšší spotřebou léčivých přípravků. Dlouhodobě je stále přerozdělování velmi solidární (zohledňuje především věk a pohlaví pojištěnců). Nastavení systému tak kompletně eliminuje nejvyšší výběr pojistného na jednoho pojištěnce, který OZP vzhledem ke kmenu svých pojištěnců realizuje. Všechny ostatní pojišťovny naopak získávají ze systému více, než činí jejich výběr pojistného. </w:t>
      </w:r>
    </w:p>
    <w:p w:rsidR="00AD35C5" w:rsidRPr="001D032A" w:rsidRDefault="00AD35C5" w:rsidP="00AD35C5">
      <w:pPr>
        <w:jc w:val="both"/>
        <w:rPr>
          <w:sz w:val="24"/>
          <w:szCs w:val="24"/>
        </w:rPr>
      </w:pPr>
      <w:r w:rsidRPr="001D032A">
        <w:rPr>
          <w:sz w:val="24"/>
          <w:szCs w:val="24"/>
        </w:rPr>
        <w:t>Růst celkových příjmů bude předstihován plánovaným zvýšením celkových výdajů, které by měly meziročně vzrůst o 6,5 % z 17,3 na 18,4 mld. Kč, z toho činí v roce 2018 výdaje na zdravotní služby 17,6 mld. Kč (růst 6,2 %) a na jednoho pojištěnce pak bude zvýšení činit 6,0</w:t>
      </w:r>
      <w:r w:rsidR="0051683A">
        <w:rPr>
          <w:sz w:val="24"/>
          <w:szCs w:val="24"/>
        </w:rPr>
        <w:t> </w:t>
      </w:r>
      <w:r w:rsidRPr="001D032A">
        <w:rPr>
          <w:sz w:val="24"/>
          <w:szCs w:val="24"/>
        </w:rPr>
        <w:t>%. To pojišťovna zdůvodňuje i rostoucími požadavky poskytovatelů zdravotních služeb nad rámec vyhlášky a dále řadou motivačních prvků pro lékaře, které byly zapracovány do úhrad. Vzhledem ke struktuře pojistného kmene má pojišťovna většinu nákladů alokovánu v „drahých“ městech, co se týče úrovně nákladů na zdravotní služby, tj. v Praze, Brně a Ostravě.</w:t>
      </w:r>
    </w:p>
    <w:p w:rsidR="00AD35C5" w:rsidRPr="001D032A" w:rsidRDefault="00AD35C5" w:rsidP="00AD35C5">
      <w:pPr>
        <w:jc w:val="both"/>
        <w:rPr>
          <w:sz w:val="24"/>
          <w:szCs w:val="24"/>
        </w:rPr>
      </w:pPr>
      <w:r w:rsidRPr="001D032A">
        <w:rPr>
          <w:sz w:val="24"/>
          <w:szCs w:val="24"/>
        </w:rPr>
        <w:t>Pojišťovna plánuje nepatrný růst průměrného počtu pojištěnců (o 1 172) a průměrného přepočteného počtu zaměstnanců z 377 na 392 (v souvislosti s výměnou informačního systému OZP). Ukazatel počtu pojištěnců na jednoho zaměstnance by se tak měl snížit o 3,7 % na hodnotu 1 864. Na vlastní činnost bude využit převod ve výši 100 % maximálního povoleného limitu. Výdaje na vlastní činnost stoupnou o 16,5 % z 546 na 636 mil. Kč především z důvodu výše zmíněných investic v oblasti ICT. Největší položku však představují mzdové a jiné osobní výdaje, které jsou naplánovány ve výši 337 mil. Kč.</w:t>
      </w:r>
    </w:p>
    <w:p w:rsidR="00AD35C5" w:rsidRPr="001D032A" w:rsidRDefault="00AD35C5" w:rsidP="00AD35C5">
      <w:pPr>
        <w:jc w:val="both"/>
        <w:rPr>
          <w:sz w:val="24"/>
          <w:szCs w:val="24"/>
        </w:rPr>
      </w:pPr>
      <w:r w:rsidRPr="001D032A">
        <w:rPr>
          <w:sz w:val="24"/>
          <w:szCs w:val="24"/>
        </w:rPr>
        <w:lastRenderedPageBreak/>
        <w:t>Hodnota pohledávek by měla nepatrně růst. Jinak je tomu na straně závazků, které meziročně vzrostou o 17,6 % na částku 2 511 mil. Kč, avšak ani v roce 2018 se nečeká vznik závazků po lhůtě splatnosti. K významnějšímu růstu dochází především u dohadných položek pasivních (meziročně o 31 %), což představuje riziko pro dodržení plánovaného hotovostního salda hospodaření. OZP bude i nadále držet 100% podíly ve svých dceřiných společnostech – Vitalitas pojišťovna a.s., OZP Servis s.r.o., Vitapharma, s. r. o.</w:t>
      </w:r>
    </w:p>
    <w:p w:rsidR="003E1B90" w:rsidRPr="001D032A" w:rsidRDefault="003E1B90" w:rsidP="00AD35C5">
      <w:pPr>
        <w:pStyle w:val="Nadpis3"/>
      </w:pPr>
      <w:bookmarkStart w:id="142" w:name="_Toc525944190"/>
      <w:r w:rsidRPr="001D032A">
        <w:t>Graf 6: Příjmy a výdaje OZP</w:t>
      </w:r>
      <w:bookmarkEnd w:id="141"/>
      <w:r w:rsidR="00AD35C5" w:rsidRPr="001D032A">
        <w:t xml:space="preserve"> v milionech Kč</w:t>
      </w:r>
      <w:bookmarkEnd w:id="142"/>
    </w:p>
    <w:p w:rsidR="00845917" w:rsidRPr="001D032A" w:rsidRDefault="00AD35C5" w:rsidP="00845917">
      <w:r w:rsidRPr="001D032A">
        <w:rPr>
          <w:noProof/>
          <w:lang w:eastAsia="cs-CZ"/>
        </w:rPr>
        <w:drawing>
          <wp:inline distT="0" distB="0" distL="0" distR="0" wp14:anchorId="7F45CECF" wp14:editId="341BC79F">
            <wp:extent cx="5753100" cy="2743200"/>
            <wp:effectExtent l="0" t="0" r="0" b="0"/>
            <wp:docPr id="7" name="Graf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88AD31-B570-41CD-A0E8-130DC1328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D35C5" w:rsidRPr="001D032A" w:rsidRDefault="00AD35C5" w:rsidP="00AD35C5">
      <w:pPr>
        <w:pStyle w:val="Bezmezer"/>
        <w:rPr>
          <w:sz w:val="20"/>
          <w:szCs w:val="20"/>
        </w:rPr>
      </w:pPr>
      <w:r w:rsidRPr="001D032A">
        <w:rPr>
          <w:sz w:val="20"/>
          <w:szCs w:val="20"/>
        </w:rPr>
        <w:t>* očekávaná skutečnost</w:t>
      </w:r>
    </w:p>
    <w:p w:rsidR="00AD35C5" w:rsidRPr="001D032A" w:rsidRDefault="00AD35C5" w:rsidP="00AD35C5">
      <w:pPr>
        <w:pStyle w:val="Bezmezer"/>
        <w:rPr>
          <w:sz w:val="20"/>
          <w:szCs w:val="20"/>
        </w:rPr>
      </w:pPr>
      <w:r w:rsidRPr="001D032A">
        <w:rPr>
          <w:sz w:val="20"/>
          <w:szCs w:val="20"/>
        </w:rPr>
        <w:t xml:space="preserve">** převzato ze zdravotních pojistných plánů </w:t>
      </w:r>
    </w:p>
    <w:p w:rsidR="003E1B90" w:rsidRPr="001D032A" w:rsidRDefault="003E1B90" w:rsidP="00845917">
      <w:pPr>
        <w:pStyle w:val="Nadpis3"/>
        <w:jc w:val="center"/>
      </w:pPr>
      <w:bookmarkStart w:id="143" w:name="_Toc491000271"/>
      <w:bookmarkStart w:id="144" w:name="_Toc525944191"/>
      <w:r w:rsidRPr="001D032A">
        <w:t>Zdroj: Ministerstvo zdravotnictví ČR</w:t>
      </w:r>
      <w:bookmarkEnd w:id="143"/>
      <w:bookmarkEnd w:id="144"/>
    </w:p>
    <w:p w:rsidR="00845917" w:rsidRPr="001D032A" w:rsidRDefault="00845917" w:rsidP="00845917"/>
    <w:p w:rsidR="003E1B90" w:rsidRPr="001D032A" w:rsidRDefault="003E1B90" w:rsidP="003E1B90">
      <w:pPr>
        <w:pStyle w:val="Nadpis3"/>
      </w:pPr>
      <w:bookmarkStart w:id="145" w:name="_Toc460456854"/>
      <w:bookmarkStart w:id="146" w:name="_Toc491000272"/>
      <w:bookmarkStart w:id="147" w:name="_Toc525944192"/>
      <w:r w:rsidRPr="001D032A">
        <w:t>Hodnocení zdravotní</w:t>
      </w:r>
      <w:bookmarkEnd w:id="145"/>
      <w:bookmarkEnd w:id="146"/>
      <w:bookmarkEnd w:id="147"/>
      <w:r w:rsidRPr="001D032A">
        <w:t xml:space="preserve"> </w:t>
      </w:r>
    </w:p>
    <w:p w:rsidR="00AD35C5" w:rsidRPr="001D032A" w:rsidRDefault="00AD35C5" w:rsidP="00AD35C5">
      <w:pPr>
        <w:jc w:val="both"/>
        <w:rPr>
          <w:sz w:val="24"/>
          <w:szCs w:val="24"/>
        </w:rPr>
      </w:pPr>
      <w:bookmarkStart w:id="148" w:name="_Toc460455312"/>
      <w:r w:rsidRPr="001D032A">
        <w:rPr>
          <w:sz w:val="24"/>
          <w:szCs w:val="24"/>
        </w:rPr>
        <w:t xml:space="preserve">V oblasti smluvní politiky bude trvalou prioritou OZP podpora </w:t>
      </w:r>
      <w:r w:rsidRPr="001D032A">
        <w:rPr>
          <w:rStyle w:val="Styl11b1"/>
          <w:sz w:val="24"/>
          <w:szCs w:val="24"/>
        </w:rPr>
        <w:t xml:space="preserve">co nejširší sítě poskytovatelů primární péče a výjezdových stanovišť zdravotnické záchranné služby pro zajištění okamžité dostupnosti lékaře prvního kontaktu v kterémkoliv místě republiky. </w:t>
      </w:r>
      <w:r w:rsidRPr="001D032A">
        <w:rPr>
          <w:sz w:val="24"/>
          <w:szCs w:val="24"/>
        </w:rPr>
        <w:t xml:space="preserve">Dlouhodobým zájmem OZP bude i v roce 2018 snaha o koncentraci zdravotních služeb do funkčních a plně vybavených především multioborových zařízení s objektivně efektivnější organizací diagnostického a léčebného procesu. </w:t>
      </w:r>
    </w:p>
    <w:p w:rsidR="00AD35C5" w:rsidRPr="001D032A" w:rsidRDefault="00AD35C5" w:rsidP="00AD35C5">
      <w:pPr>
        <w:jc w:val="both"/>
        <w:rPr>
          <w:sz w:val="24"/>
          <w:szCs w:val="24"/>
        </w:rPr>
      </w:pPr>
      <w:r w:rsidRPr="001D032A">
        <w:rPr>
          <w:sz w:val="24"/>
          <w:szCs w:val="24"/>
        </w:rPr>
        <w:t xml:space="preserve">Síť smluvních PZS OZP je téměř ve všech odbornostech a regionech dlouhodobě plně vyhovující, její další extenzivní rozšiřování tak již objektivně není potřebné a ani účelné. Výjimku však tvoří zajištění dostupnosti primární péče v okrajových částech republiky. Právě v těchto regionech bude OZP svojí bonifikační politikou podporovat generační obměnu praxí a iniciovat vznik nových praxí. </w:t>
      </w:r>
      <w:r w:rsidRPr="001D032A">
        <w:rPr>
          <w:rStyle w:val="Styl11b1"/>
          <w:sz w:val="24"/>
          <w:szCs w:val="24"/>
        </w:rPr>
        <w:t xml:space="preserve">Smlouvy s nově zařazovanými PZS do sítě bude tedy OZP uzavírat v roce 2018 pouze ve výjimečných případech a v odbornostech, kdy </w:t>
      </w:r>
      <w:r w:rsidRPr="001D032A">
        <w:rPr>
          <w:sz w:val="24"/>
          <w:szCs w:val="24"/>
        </w:rPr>
        <w:t xml:space="preserve">v daném regionu není doposud síť v dané odbornosti objektivně naplněna, dochází ke generační obměně stávajících poskytovatelů zdravotních služeb či změně právní subjektivity, jsou průkazné signály o dlouhých objednacích dobách v některých odbornostech, nabízený rozsah zdravotních služeb přináší nové a ekonomicky efektivní způsoby diagnostiky či léčby. </w:t>
      </w:r>
    </w:p>
    <w:p w:rsidR="003E1B90" w:rsidRPr="001D032A" w:rsidRDefault="003E1B90" w:rsidP="0013019B">
      <w:pPr>
        <w:pStyle w:val="Nadpis3"/>
      </w:pPr>
      <w:bookmarkStart w:id="149" w:name="_Toc525944193"/>
      <w:r w:rsidRPr="001D032A">
        <w:lastRenderedPageBreak/>
        <w:t>Tabulka 13: Soustava smluvních poskytovatelů zdravotních služeb</w:t>
      </w:r>
      <w:bookmarkEnd w:id="148"/>
      <w:bookmarkEnd w:id="149"/>
    </w:p>
    <w:tbl>
      <w:tblPr>
        <w:tblStyle w:val="Tabulkasmkou4zvraznn1"/>
        <w:tblW w:w="9062" w:type="dxa"/>
        <w:tblLayout w:type="fixed"/>
        <w:tblLook w:val="04A0" w:firstRow="1" w:lastRow="0" w:firstColumn="1" w:lastColumn="0" w:noHBand="0" w:noVBand="1"/>
      </w:tblPr>
      <w:tblGrid>
        <w:gridCol w:w="2165"/>
        <w:gridCol w:w="33"/>
        <w:gridCol w:w="934"/>
        <w:gridCol w:w="32"/>
        <w:gridCol w:w="933"/>
        <w:gridCol w:w="32"/>
        <w:gridCol w:w="961"/>
        <w:gridCol w:w="993"/>
        <w:gridCol w:w="993"/>
        <w:gridCol w:w="993"/>
        <w:gridCol w:w="993"/>
      </w:tblGrid>
      <w:tr w:rsidR="0013019B" w:rsidRPr="001D032A" w:rsidTr="0013019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65" w:type="dxa"/>
            <w:vAlign w:val="center"/>
          </w:tcPr>
          <w:p w:rsidR="0013019B" w:rsidRPr="001D032A" w:rsidRDefault="0013019B" w:rsidP="003E1B90">
            <w:pPr>
              <w:jc w:val="center"/>
              <w:rPr>
                <w:rFonts w:ascii="Calibri" w:hAnsi="Calibri"/>
                <w:bCs w:val="0"/>
                <w:color w:val="FFFFFF"/>
              </w:rPr>
            </w:pPr>
            <w:r w:rsidRPr="001D032A">
              <w:rPr>
                <w:rFonts w:ascii="Calibri" w:hAnsi="Calibri"/>
                <w:bCs w:val="0"/>
                <w:color w:val="FFFFFF"/>
              </w:rPr>
              <w:t xml:space="preserve">Kategorie </w:t>
            </w:r>
          </w:p>
          <w:p w:rsidR="0013019B" w:rsidRPr="001D032A" w:rsidRDefault="0013019B" w:rsidP="003E1B90">
            <w:pPr>
              <w:jc w:val="center"/>
              <w:rPr>
                <w:rFonts w:ascii="Calibri" w:hAnsi="Calibri"/>
                <w:bCs w:val="0"/>
                <w:color w:val="FFFFFF"/>
              </w:rPr>
            </w:pPr>
            <w:r w:rsidRPr="001D032A">
              <w:rPr>
                <w:rFonts w:ascii="Calibri" w:hAnsi="Calibri"/>
                <w:bCs w:val="0"/>
                <w:color w:val="FFFFFF"/>
              </w:rPr>
              <w:t>smluvních PZS</w:t>
            </w:r>
          </w:p>
        </w:tc>
        <w:tc>
          <w:tcPr>
            <w:tcW w:w="967" w:type="dxa"/>
            <w:gridSpan w:val="2"/>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2</w:t>
            </w:r>
          </w:p>
        </w:tc>
        <w:tc>
          <w:tcPr>
            <w:tcW w:w="965" w:type="dxa"/>
            <w:gridSpan w:val="2"/>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3</w:t>
            </w:r>
          </w:p>
        </w:tc>
        <w:tc>
          <w:tcPr>
            <w:tcW w:w="993" w:type="dxa"/>
            <w:gridSpan w:val="2"/>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4</w:t>
            </w:r>
          </w:p>
        </w:tc>
        <w:tc>
          <w:tcPr>
            <w:tcW w:w="993"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5</w:t>
            </w:r>
          </w:p>
        </w:tc>
        <w:tc>
          <w:tcPr>
            <w:tcW w:w="993"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6</w:t>
            </w:r>
          </w:p>
        </w:tc>
        <w:tc>
          <w:tcPr>
            <w:tcW w:w="993"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7</w:t>
            </w:r>
            <w:r w:rsidRPr="001D032A">
              <w:rPr>
                <w:rFonts w:ascii="Calibri" w:hAnsi="Calibri"/>
                <w:bCs w:val="0"/>
                <w:color w:val="FFFFFF"/>
              </w:rPr>
              <w:t>*</w:t>
            </w:r>
          </w:p>
        </w:tc>
        <w:tc>
          <w:tcPr>
            <w:tcW w:w="993"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8</w:t>
            </w:r>
            <w:r w:rsidRPr="001D032A">
              <w:rPr>
                <w:rFonts w:ascii="Calibri" w:hAnsi="Calibri"/>
                <w:bCs w:val="0"/>
                <w:color w:val="FFFFFF"/>
              </w:rPr>
              <w:t>**</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Ambulantní poskytovatelé</w:t>
            </w:r>
          </w:p>
        </w:tc>
        <w:tc>
          <w:tcPr>
            <w:tcW w:w="966"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22 543</w:t>
            </w:r>
          </w:p>
        </w:tc>
        <w:tc>
          <w:tcPr>
            <w:tcW w:w="965"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22 449</w:t>
            </w:r>
          </w:p>
        </w:tc>
        <w:tc>
          <w:tcPr>
            <w:tcW w:w="961"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22 427</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22 269</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22 564</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22 576</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22 564</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 xml:space="preserve">Praktický lékař pro dospělé </w:t>
            </w:r>
          </w:p>
        </w:tc>
        <w:tc>
          <w:tcPr>
            <w:tcW w:w="966"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4 378</w:t>
            </w:r>
          </w:p>
        </w:tc>
        <w:tc>
          <w:tcPr>
            <w:tcW w:w="965"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4 367</w:t>
            </w:r>
          </w:p>
        </w:tc>
        <w:tc>
          <w:tcPr>
            <w:tcW w:w="961"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4 387</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4 365</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4 417</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4 405</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4 395</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 xml:space="preserve">Praktický lékař pro děti a dorost </w:t>
            </w:r>
          </w:p>
        </w:tc>
        <w:tc>
          <w:tcPr>
            <w:tcW w:w="966"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2 026</w:t>
            </w:r>
          </w:p>
        </w:tc>
        <w:tc>
          <w:tcPr>
            <w:tcW w:w="965"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2 004</w:t>
            </w:r>
          </w:p>
        </w:tc>
        <w:tc>
          <w:tcPr>
            <w:tcW w:w="961"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1 981</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1 933</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1 930</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1 916</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1 914</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Praktický zubní lékař</w:t>
            </w:r>
          </w:p>
        </w:tc>
        <w:tc>
          <w:tcPr>
            <w:tcW w:w="966"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5 671</w:t>
            </w:r>
          </w:p>
        </w:tc>
        <w:tc>
          <w:tcPr>
            <w:tcW w:w="965"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5 674</w:t>
            </w:r>
          </w:p>
        </w:tc>
        <w:tc>
          <w:tcPr>
            <w:tcW w:w="961"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5 652</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5 656</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5 718</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5 734</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5 730</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 xml:space="preserve">Ostatní ambulantní poskytovatelé </w:t>
            </w:r>
          </w:p>
        </w:tc>
        <w:tc>
          <w:tcPr>
            <w:tcW w:w="966"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10 468</w:t>
            </w:r>
          </w:p>
        </w:tc>
        <w:tc>
          <w:tcPr>
            <w:tcW w:w="965"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10 404</w:t>
            </w:r>
          </w:p>
        </w:tc>
        <w:tc>
          <w:tcPr>
            <w:tcW w:w="961"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10 407</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10 315</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10 315</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10 521</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10 525</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 xml:space="preserve">Lůžkoví poskytovatelé </w:t>
            </w:r>
          </w:p>
        </w:tc>
        <w:tc>
          <w:tcPr>
            <w:tcW w:w="966"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398</w:t>
            </w:r>
          </w:p>
        </w:tc>
        <w:tc>
          <w:tcPr>
            <w:tcW w:w="965"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391</w:t>
            </w:r>
          </w:p>
        </w:tc>
        <w:tc>
          <w:tcPr>
            <w:tcW w:w="961"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397</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389</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398</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397</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401</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 xml:space="preserve">Ostatní poskytovatelé </w:t>
            </w:r>
          </w:p>
        </w:tc>
        <w:tc>
          <w:tcPr>
            <w:tcW w:w="966"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3 114</w:t>
            </w:r>
          </w:p>
        </w:tc>
        <w:tc>
          <w:tcPr>
            <w:tcW w:w="965" w:type="dxa"/>
            <w:gridSpan w:val="2"/>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3 152</w:t>
            </w:r>
          </w:p>
        </w:tc>
        <w:tc>
          <w:tcPr>
            <w:tcW w:w="961"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3 293</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3 502</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3 461</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3 450</w:t>
            </w:r>
          </w:p>
        </w:tc>
        <w:tc>
          <w:tcPr>
            <w:tcW w:w="99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3 454</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2198" w:type="dxa"/>
            <w:gridSpan w:val="2"/>
            <w:vAlign w:val="center"/>
          </w:tcPr>
          <w:p w:rsidR="00AD35C5" w:rsidRPr="001D032A" w:rsidRDefault="00AD35C5" w:rsidP="00AD35C5">
            <w:pPr>
              <w:rPr>
                <w:b w:val="0"/>
                <w:bCs w:val="0"/>
                <w:sz w:val="20"/>
                <w:szCs w:val="20"/>
              </w:rPr>
            </w:pPr>
            <w:r w:rsidRPr="001D032A">
              <w:rPr>
                <w:b w:val="0"/>
                <w:bCs w:val="0"/>
                <w:sz w:val="20"/>
                <w:szCs w:val="20"/>
              </w:rPr>
              <w:t>Celkem</w:t>
            </w:r>
          </w:p>
        </w:tc>
        <w:tc>
          <w:tcPr>
            <w:tcW w:w="966"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1D032A">
              <w:rPr>
                <w:rFonts w:cs="Arial"/>
                <w:b/>
                <w:bCs/>
                <w:sz w:val="21"/>
                <w:szCs w:val="21"/>
              </w:rPr>
              <w:t>26 055</w:t>
            </w:r>
          </w:p>
        </w:tc>
        <w:tc>
          <w:tcPr>
            <w:tcW w:w="965" w:type="dxa"/>
            <w:gridSpan w:val="2"/>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1D032A">
              <w:rPr>
                <w:rFonts w:cs="Arial"/>
                <w:b/>
                <w:bCs/>
                <w:sz w:val="21"/>
                <w:szCs w:val="21"/>
              </w:rPr>
              <w:t>25 992</w:t>
            </w:r>
          </w:p>
        </w:tc>
        <w:tc>
          <w:tcPr>
            <w:tcW w:w="961"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26 117</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26 160</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26 423</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26 423</w:t>
            </w:r>
          </w:p>
        </w:tc>
        <w:tc>
          <w:tcPr>
            <w:tcW w:w="99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26 419</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13019B">
      <w:pPr>
        <w:pStyle w:val="Nadpis3"/>
        <w:jc w:val="center"/>
      </w:pPr>
      <w:bookmarkStart w:id="150" w:name="_Toc491000274"/>
      <w:bookmarkStart w:id="151" w:name="_Toc525944194"/>
      <w:r w:rsidRPr="001D032A">
        <w:t>Zdroj: Ministerstvo zdravotnictví ČR</w:t>
      </w:r>
      <w:bookmarkEnd w:id="150"/>
      <w:bookmarkEnd w:id="151"/>
    </w:p>
    <w:p w:rsidR="0013019B" w:rsidRPr="001D032A" w:rsidRDefault="0013019B" w:rsidP="0013019B"/>
    <w:p w:rsidR="003E1B90" w:rsidRPr="001D032A" w:rsidRDefault="00AD35C5" w:rsidP="00AD35C5">
      <w:pPr>
        <w:jc w:val="both"/>
        <w:rPr>
          <w:rFonts w:cs="Arial"/>
          <w:sz w:val="24"/>
          <w:szCs w:val="24"/>
        </w:rPr>
      </w:pPr>
      <w:r w:rsidRPr="001D032A">
        <w:rPr>
          <w:sz w:val="24"/>
          <w:szCs w:val="24"/>
        </w:rPr>
        <w:t xml:space="preserve">Celkové náklady na zdravotní služby čerpané ze ZFZP plánuje OZP ve výši 18 000 mil. Kč, což představuje meziroční nárůst oproti očekávané skutečnosti roku 2017 o 9,7 %. Celkové náklady v přepočtu na 1 pojištěnce budou v roce 2018 rovněž výrazně růst. Průměrné náklady na zdravotní služby na 1 pojištěnce jsou plánovány ve výši 24 641 Kč, což v meziročním porovnání znamená nárůst o 9,5 %. </w:t>
      </w:r>
    </w:p>
    <w:p w:rsidR="003E1B90" w:rsidRPr="001D032A" w:rsidRDefault="003E1B90" w:rsidP="0013019B">
      <w:pPr>
        <w:pStyle w:val="Nadpis3"/>
      </w:pPr>
      <w:bookmarkStart w:id="152" w:name="_Toc460455313"/>
      <w:bookmarkStart w:id="153" w:name="_Toc525944195"/>
      <w:r w:rsidRPr="001D032A">
        <w:t>Tabulka 14: Struktura nákladů na zdravotní služby podle jednotlivých segmentů</w:t>
      </w:r>
      <w:bookmarkEnd w:id="152"/>
      <w:bookmarkEnd w:id="153"/>
    </w:p>
    <w:tbl>
      <w:tblPr>
        <w:tblStyle w:val="Tabulkasmkou4zvraznn1"/>
        <w:tblW w:w="9062" w:type="dxa"/>
        <w:tblLayout w:type="fixed"/>
        <w:tblLook w:val="04A0" w:firstRow="1" w:lastRow="0" w:firstColumn="1" w:lastColumn="0" w:noHBand="0" w:noVBand="1"/>
      </w:tblPr>
      <w:tblGrid>
        <w:gridCol w:w="1671"/>
        <w:gridCol w:w="1055"/>
        <w:gridCol w:w="1056"/>
        <w:gridCol w:w="1056"/>
        <w:gridCol w:w="1056"/>
        <w:gridCol w:w="1056"/>
        <w:gridCol w:w="1056"/>
        <w:gridCol w:w="1056"/>
      </w:tblGrid>
      <w:tr w:rsidR="0013019B" w:rsidRPr="001D032A" w:rsidTr="0013019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13019B" w:rsidRPr="001D032A" w:rsidRDefault="0013019B" w:rsidP="003E1B90">
            <w:pPr>
              <w:jc w:val="center"/>
              <w:rPr>
                <w:rFonts w:ascii="Calibri" w:hAnsi="Calibri"/>
                <w:bCs w:val="0"/>
                <w:color w:val="FFFFFF"/>
              </w:rPr>
            </w:pPr>
            <w:r w:rsidRPr="001D032A">
              <w:rPr>
                <w:rFonts w:ascii="Calibri" w:hAnsi="Calibri"/>
                <w:bCs w:val="0"/>
                <w:color w:val="FFFFFF"/>
              </w:rPr>
              <w:t>Ukazatel</w:t>
            </w:r>
          </w:p>
          <w:p w:rsidR="0013019B" w:rsidRPr="001D032A" w:rsidRDefault="0013019B" w:rsidP="003E1B90">
            <w:pPr>
              <w:jc w:val="center"/>
              <w:rPr>
                <w:rFonts w:ascii="Calibri" w:hAnsi="Calibri"/>
                <w:bCs w:val="0"/>
                <w:color w:val="FFFFFF"/>
              </w:rPr>
            </w:pPr>
            <w:r w:rsidRPr="001D032A">
              <w:rPr>
                <w:rFonts w:ascii="Calibri" w:hAnsi="Calibri"/>
                <w:bCs w:val="0"/>
                <w:color w:val="FFFFFF"/>
              </w:rPr>
              <w:t>(v mil. Kč)</w:t>
            </w:r>
          </w:p>
        </w:tc>
        <w:tc>
          <w:tcPr>
            <w:tcW w:w="1055"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2</w:t>
            </w:r>
          </w:p>
        </w:tc>
        <w:tc>
          <w:tcPr>
            <w:tcW w:w="1056"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3</w:t>
            </w:r>
          </w:p>
        </w:tc>
        <w:tc>
          <w:tcPr>
            <w:tcW w:w="1056"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4</w:t>
            </w:r>
          </w:p>
        </w:tc>
        <w:tc>
          <w:tcPr>
            <w:tcW w:w="1056"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5</w:t>
            </w:r>
          </w:p>
        </w:tc>
        <w:tc>
          <w:tcPr>
            <w:tcW w:w="1056"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6</w:t>
            </w:r>
          </w:p>
        </w:tc>
        <w:tc>
          <w:tcPr>
            <w:tcW w:w="1056"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7</w:t>
            </w:r>
            <w:r w:rsidRPr="001D032A">
              <w:rPr>
                <w:rFonts w:ascii="Calibri" w:hAnsi="Calibri"/>
                <w:bCs w:val="0"/>
                <w:color w:val="FFFFFF"/>
              </w:rPr>
              <w:t>*</w:t>
            </w:r>
          </w:p>
        </w:tc>
        <w:tc>
          <w:tcPr>
            <w:tcW w:w="1056"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8</w:t>
            </w:r>
            <w:r w:rsidRPr="001D032A">
              <w:rPr>
                <w:rFonts w:ascii="Calibri" w:hAnsi="Calibri"/>
                <w:bCs w:val="0"/>
                <w:color w:val="FFFFFF"/>
              </w:rPr>
              <w:t>**</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D35C5" w:rsidRPr="001D032A" w:rsidRDefault="00AD35C5" w:rsidP="00AD35C5">
            <w:pPr>
              <w:rPr>
                <w:rFonts w:ascii="Calibri" w:hAnsi="Calibri"/>
                <w:b w:val="0"/>
                <w:sz w:val="20"/>
                <w:szCs w:val="20"/>
              </w:rPr>
            </w:pPr>
            <w:r w:rsidRPr="001D032A">
              <w:rPr>
                <w:rFonts w:ascii="Calibri" w:hAnsi="Calibri"/>
                <w:b w:val="0"/>
                <w:sz w:val="20"/>
                <w:szCs w:val="20"/>
              </w:rPr>
              <w:t>Náklady na ambulantní péči</w:t>
            </w:r>
          </w:p>
        </w:tc>
        <w:tc>
          <w:tcPr>
            <w:tcW w:w="1055"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4 345</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4 480</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4 466</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4 759</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4 875</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5 046</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5 364</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D35C5" w:rsidRPr="001D032A" w:rsidRDefault="00AD35C5" w:rsidP="00AD35C5">
            <w:pPr>
              <w:rPr>
                <w:rFonts w:ascii="Calibri" w:hAnsi="Calibri"/>
                <w:b w:val="0"/>
                <w:sz w:val="20"/>
                <w:szCs w:val="20"/>
              </w:rPr>
            </w:pPr>
            <w:r w:rsidRPr="001D032A">
              <w:rPr>
                <w:rFonts w:ascii="Calibri" w:hAnsi="Calibri"/>
                <w:b w:val="0"/>
                <w:sz w:val="20"/>
                <w:szCs w:val="20"/>
              </w:rPr>
              <w:t>Náklady na lůžkovou péči</w:t>
            </w:r>
          </w:p>
        </w:tc>
        <w:tc>
          <w:tcPr>
            <w:tcW w:w="1055"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5 867</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6 016</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7 147</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7 668</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7 845</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8 340</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9 357</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D35C5" w:rsidRPr="001D032A" w:rsidRDefault="00AD35C5" w:rsidP="00AD35C5">
            <w:pPr>
              <w:rPr>
                <w:rFonts w:ascii="Calibri" w:hAnsi="Calibri"/>
                <w:b w:val="0"/>
                <w:sz w:val="20"/>
                <w:szCs w:val="20"/>
              </w:rPr>
            </w:pPr>
            <w:r w:rsidRPr="001D032A">
              <w:rPr>
                <w:rFonts w:ascii="Calibri" w:hAnsi="Calibri"/>
                <w:b w:val="0"/>
                <w:sz w:val="20"/>
                <w:szCs w:val="20"/>
              </w:rPr>
              <w:t>Ostatní náklady</w:t>
            </w:r>
          </w:p>
        </w:tc>
        <w:tc>
          <w:tcPr>
            <w:tcW w:w="1055"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2 603</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2 479</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2 534</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2 656</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2 957</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3 019</w:t>
            </w:r>
          </w:p>
        </w:tc>
        <w:tc>
          <w:tcPr>
            <w:tcW w:w="1056"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3 279</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AD35C5" w:rsidRPr="001D032A" w:rsidRDefault="00AD35C5" w:rsidP="00AD35C5">
            <w:pPr>
              <w:rPr>
                <w:rFonts w:ascii="Calibri" w:hAnsi="Calibri"/>
                <w:b w:val="0"/>
                <w:sz w:val="20"/>
                <w:szCs w:val="20"/>
              </w:rPr>
            </w:pPr>
            <w:r w:rsidRPr="001D032A">
              <w:rPr>
                <w:rFonts w:ascii="Calibri" w:hAnsi="Calibri"/>
                <w:b w:val="0"/>
                <w:sz w:val="20"/>
                <w:szCs w:val="20"/>
              </w:rPr>
              <w:t>Celkové náklady</w:t>
            </w:r>
          </w:p>
        </w:tc>
        <w:tc>
          <w:tcPr>
            <w:tcW w:w="1055"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12 815</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12 975</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14 147</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15 083</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15 677</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16 405</w:t>
            </w:r>
          </w:p>
        </w:tc>
        <w:tc>
          <w:tcPr>
            <w:tcW w:w="1056"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18 000</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13019B">
      <w:pPr>
        <w:pStyle w:val="Nadpis3"/>
        <w:jc w:val="center"/>
      </w:pPr>
      <w:bookmarkStart w:id="154" w:name="_Toc491000276"/>
      <w:bookmarkStart w:id="155" w:name="_Toc525944196"/>
      <w:r w:rsidRPr="001D032A">
        <w:t>Zdroj: Ministerstvo zdravotnictví ČR</w:t>
      </w:r>
      <w:bookmarkEnd w:id="154"/>
      <w:bookmarkEnd w:id="155"/>
    </w:p>
    <w:p w:rsidR="0013019B" w:rsidRPr="001D032A" w:rsidRDefault="0013019B" w:rsidP="0013019B"/>
    <w:p w:rsidR="00AD35C5" w:rsidRPr="001D032A" w:rsidRDefault="00AD35C5" w:rsidP="00AD35C5">
      <w:pPr>
        <w:jc w:val="both"/>
        <w:rPr>
          <w:rStyle w:val="Styl11b1"/>
          <w:rFonts w:ascii="Calibri" w:hAnsi="Calibri"/>
          <w:sz w:val="24"/>
          <w:szCs w:val="24"/>
        </w:rPr>
      </w:pPr>
      <w:bookmarkStart w:id="156" w:name="_Toc460455314"/>
      <w:r w:rsidRPr="001D032A">
        <w:rPr>
          <w:bCs/>
          <w:sz w:val="24"/>
          <w:szCs w:val="24"/>
        </w:rPr>
        <w:t>Náklady na preventivní péči</w:t>
      </w:r>
      <w:r w:rsidRPr="001D032A">
        <w:rPr>
          <w:sz w:val="24"/>
          <w:szCs w:val="24"/>
        </w:rPr>
        <w:t xml:space="preserve"> čerpané z Fprev plánuje OZP ve výši 85,5 mil. Kč, tj. meziroční zvýšení nákladů o 9,6 %, v absolutním vyjádření o 7,5 mil. Kč. </w:t>
      </w:r>
      <w:r w:rsidRPr="001D032A">
        <w:rPr>
          <w:rStyle w:val="Styl11b1"/>
          <w:sz w:val="24"/>
          <w:szCs w:val="24"/>
        </w:rPr>
        <w:t xml:space="preserve">Tento naplánovaný růst vychází </w:t>
      </w:r>
      <w:r w:rsidRPr="001D032A">
        <w:rPr>
          <w:rFonts w:cs="ArialMT2"/>
          <w:sz w:val="24"/>
          <w:szCs w:val="24"/>
        </w:rPr>
        <w:lastRenderedPageBreak/>
        <w:t>ze zkušeností s realizací zdravotn</w:t>
      </w:r>
      <w:r w:rsidRPr="001D032A">
        <w:rPr>
          <w:rFonts w:cs="ArialMT"/>
          <w:sz w:val="24"/>
          <w:szCs w:val="24"/>
        </w:rPr>
        <w:t xml:space="preserve">ě </w:t>
      </w:r>
      <w:r w:rsidRPr="001D032A">
        <w:rPr>
          <w:rFonts w:cs="ArialMT2"/>
          <w:sz w:val="24"/>
          <w:szCs w:val="24"/>
        </w:rPr>
        <w:t>preventivních program</w:t>
      </w:r>
      <w:r w:rsidRPr="001D032A">
        <w:rPr>
          <w:rFonts w:cs="ArialMT"/>
          <w:sz w:val="24"/>
          <w:szCs w:val="24"/>
        </w:rPr>
        <w:t xml:space="preserve">ů – jejich </w:t>
      </w:r>
      <w:r w:rsidRPr="001D032A">
        <w:rPr>
          <w:rFonts w:cs="ArialMT2"/>
          <w:sz w:val="24"/>
          <w:szCs w:val="24"/>
        </w:rPr>
        <w:t>stále stoupajícím významem a atraktivností pro pojištěnce</w:t>
      </w:r>
      <w:r w:rsidRPr="001D032A">
        <w:rPr>
          <w:rStyle w:val="Styl11b1"/>
          <w:sz w:val="24"/>
          <w:szCs w:val="24"/>
        </w:rPr>
        <w:t>.</w:t>
      </w:r>
    </w:p>
    <w:p w:rsidR="00AD35C5" w:rsidRPr="001D032A" w:rsidRDefault="00AD35C5" w:rsidP="00AD35C5">
      <w:pPr>
        <w:jc w:val="both"/>
        <w:rPr>
          <w:sz w:val="24"/>
          <w:szCs w:val="24"/>
        </w:rPr>
      </w:pPr>
      <w:r w:rsidRPr="001D032A">
        <w:rPr>
          <w:sz w:val="24"/>
          <w:szCs w:val="24"/>
        </w:rPr>
        <w:t>Program prevence pro rok 2018 je členěn do tří základních skupin. První skupina zahrnuje zdravotně preventivní programy. Do druhé skupiny jsou zařazeny ozdravné pobyty. Do třetí skupiny jsou zařazeny ostatní činnosti se zaměřením na informační činnost.</w:t>
      </w:r>
    </w:p>
    <w:p w:rsidR="003E1B90" w:rsidRPr="001D032A" w:rsidRDefault="003E1B90" w:rsidP="00AD35C5">
      <w:pPr>
        <w:pStyle w:val="Nadpis3"/>
      </w:pPr>
      <w:bookmarkStart w:id="157" w:name="_Toc525944197"/>
      <w:r w:rsidRPr="001D032A">
        <w:t>Tabulka 15: Náklady na preventivní zdravotní péči čerpané z fondu prevence</w:t>
      </w:r>
      <w:bookmarkEnd w:id="156"/>
      <w:bookmarkEnd w:id="157"/>
    </w:p>
    <w:tbl>
      <w:tblPr>
        <w:tblStyle w:val="Tabulkasmkou4zvraznn1"/>
        <w:tblW w:w="9062" w:type="dxa"/>
        <w:tblLayout w:type="fixed"/>
        <w:tblLook w:val="04A0" w:firstRow="1" w:lastRow="0" w:firstColumn="1" w:lastColumn="0" w:noHBand="0" w:noVBand="1"/>
      </w:tblPr>
      <w:tblGrid>
        <w:gridCol w:w="2396"/>
        <w:gridCol w:w="953"/>
        <w:gridCol w:w="952"/>
        <w:gridCol w:w="952"/>
        <w:gridCol w:w="952"/>
        <w:gridCol w:w="953"/>
        <w:gridCol w:w="952"/>
        <w:gridCol w:w="952"/>
      </w:tblGrid>
      <w:tr w:rsidR="0013019B" w:rsidRPr="001D032A" w:rsidTr="0013019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96" w:type="dxa"/>
            <w:vAlign w:val="center"/>
          </w:tcPr>
          <w:p w:rsidR="0013019B" w:rsidRPr="001D032A" w:rsidRDefault="0013019B" w:rsidP="003E1B90">
            <w:pPr>
              <w:jc w:val="center"/>
              <w:rPr>
                <w:rFonts w:ascii="Calibri" w:hAnsi="Calibri"/>
                <w:bCs w:val="0"/>
                <w:color w:val="FFFFFF"/>
              </w:rPr>
            </w:pPr>
            <w:r w:rsidRPr="001D032A">
              <w:rPr>
                <w:rFonts w:ascii="Calibri" w:hAnsi="Calibri"/>
                <w:bCs w:val="0"/>
                <w:color w:val="FFFFFF"/>
              </w:rPr>
              <w:t>Ukazatel</w:t>
            </w:r>
          </w:p>
          <w:p w:rsidR="0013019B" w:rsidRPr="001D032A" w:rsidRDefault="0013019B" w:rsidP="003E1B90">
            <w:pPr>
              <w:jc w:val="center"/>
              <w:rPr>
                <w:rFonts w:ascii="Calibri" w:hAnsi="Calibri"/>
                <w:bCs w:val="0"/>
                <w:color w:val="FFFFFF"/>
              </w:rPr>
            </w:pPr>
            <w:r w:rsidRPr="001D032A">
              <w:rPr>
                <w:rFonts w:ascii="Calibri" w:hAnsi="Calibri"/>
                <w:bCs w:val="0"/>
                <w:color w:val="FFFFFF"/>
              </w:rPr>
              <w:t>(</w:t>
            </w:r>
            <w:r w:rsidR="008D2F33">
              <w:rPr>
                <w:rFonts w:ascii="Calibri" w:hAnsi="Calibri"/>
                <w:bCs w:val="0"/>
                <w:color w:val="FFFFFF"/>
              </w:rPr>
              <w:t>v mil.</w:t>
            </w:r>
            <w:r w:rsidRPr="001D032A">
              <w:rPr>
                <w:rFonts w:ascii="Calibri" w:hAnsi="Calibri"/>
                <w:bCs w:val="0"/>
                <w:color w:val="FFFFFF"/>
              </w:rPr>
              <w:t xml:space="preserve"> Kč)</w:t>
            </w:r>
          </w:p>
        </w:tc>
        <w:tc>
          <w:tcPr>
            <w:tcW w:w="953"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2</w:t>
            </w:r>
          </w:p>
        </w:tc>
        <w:tc>
          <w:tcPr>
            <w:tcW w:w="952"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3</w:t>
            </w:r>
          </w:p>
        </w:tc>
        <w:tc>
          <w:tcPr>
            <w:tcW w:w="952"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4</w:t>
            </w:r>
          </w:p>
        </w:tc>
        <w:tc>
          <w:tcPr>
            <w:tcW w:w="952"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5</w:t>
            </w:r>
          </w:p>
        </w:tc>
        <w:tc>
          <w:tcPr>
            <w:tcW w:w="953"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6</w:t>
            </w:r>
          </w:p>
        </w:tc>
        <w:tc>
          <w:tcPr>
            <w:tcW w:w="952"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7</w:t>
            </w:r>
            <w:r w:rsidRPr="001D032A">
              <w:rPr>
                <w:rFonts w:ascii="Calibri" w:hAnsi="Calibri"/>
                <w:bCs w:val="0"/>
                <w:color w:val="FFFFFF"/>
              </w:rPr>
              <w:t>*</w:t>
            </w:r>
          </w:p>
        </w:tc>
        <w:tc>
          <w:tcPr>
            <w:tcW w:w="952" w:type="dxa"/>
            <w:vAlign w:val="center"/>
          </w:tcPr>
          <w:p w:rsidR="0013019B" w:rsidRPr="001D032A" w:rsidRDefault="0013019B"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AD35C5" w:rsidRPr="001D032A">
              <w:rPr>
                <w:rFonts w:ascii="Calibri" w:hAnsi="Calibri"/>
                <w:bCs w:val="0"/>
                <w:color w:val="FFFFFF"/>
              </w:rPr>
              <w:t>8</w:t>
            </w:r>
            <w:r w:rsidRPr="001D032A">
              <w:rPr>
                <w:rFonts w:ascii="Calibri" w:hAnsi="Calibri"/>
                <w:bCs w:val="0"/>
                <w:color w:val="FFFFFF"/>
              </w:rPr>
              <w:t>**</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96" w:type="dxa"/>
            <w:vAlign w:val="center"/>
          </w:tcPr>
          <w:p w:rsidR="00AD35C5" w:rsidRPr="001D032A" w:rsidRDefault="00AD35C5" w:rsidP="00AD35C5">
            <w:pPr>
              <w:rPr>
                <w:rFonts w:ascii="Calibri" w:hAnsi="Calibri"/>
                <w:b w:val="0"/>
                <w:bCs w:val="0"/>
                <w:sz w:val="20"/>
                <w:szCs w:val="20"/>
              </w:rPr>
            </w:pPr>
            <w:r w:rsidRPr="001D032A">
              <w:rPr>
                <w:rFonts w:ascii="Calibri" w:hAnsi="Calibri"/>
                <w:b w:val="0"/>
                <w:bCs w:val="0"/>
                <w:sz w:val="20"/>
                <w:szCs w:val="20"/>
              </w:rPr>
              <w:t>Náklady na zdravotní programy</w:t>
            </w:r>
          </w:p>
        </w:tc>
        <w:tc>
          <w:tcPr>
            <w:tcW w:w="95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69</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58</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44</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60</w:t>
            </w:r>
          </w:p>
        </w:tc>
        <w:tc>
          <w:tcPr>
            <w:tcW w:w="95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68</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71</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78</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2396" w:type="dxa"/>
            <w:vAlign w:val="center"/>
          </w:tcPr>
          <w:p w:rsidR="00AD35C5" w:rsidRPr="001D032A" w:rsidRDefault="00AD35C5" w:rsidP="00AD35C5">
            <w:pPr>
              <w:rPr>
                <w:rFonts w:ascii="Calibri" w:hAnsi="Calibri"/>
                <w:b w:val="0"/>
                <w:bCs w:val="0"/>
                <w:sz w:val="20"/>
                <w:szCs w:val="20"/>
              </w:rPr>
            </w:pPr>
            <w:r w:rsidRPr="001D032A">
              <w:rPr>
                <w:rFonts w:ascii="Calibri" w:hAnsi="Calibri"/>
                <w:b w:val="0"/>
                <w:bCs w:val="0"/>
                <w:sz w:val="20"/>
                <w:szCs w:val="20"/>
              </w:rPr>
              <w:t>Náklady na ozdravné pobyty</w:t>
            </w:r>
          </w:p>
        </w:tc>
        <w:tc>
          <w:tcPr>
            <w:tcW w:w="95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6</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7</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w:t>
            </w:r>
          </w:p>
        </w:tc>
        <w:tc>
          <w:tcPr>
            <w:tcW w:w="95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7</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7</w:t>
            </w:r>
          </w:p>
        </w:tc>
      </w:tr>
      <w:tr w:rsidR="00AD35C5" w:rsidRPr="001D032A" w:rsidTr="00AD35C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96" w:type="dxa"/>
            <w:vAlign w:val="center"/>
          </w:tcPr>
          <w:p w:rsidR="00AD35C5" w:rsidRPr="001D032A" w:rsidRDefault="00AD35C5" w:rsidP="00AD35C5">
            <w:pPr>
              <w:rPr>
                <w:rFonts w:ascii="Calibri" w:hAnsi="Calibri"/>
                <w:b w:val="0"/>
                <w:bCs w:val="0"/>
                <w:sz w:val="20"/>
                <w:szCs w:val="20"/>
              </w:rPr>
            </w:pPr>
            <w:r w:rsidRPr="001D032A">
              <w:rPr>
                <w:rFonts w:ascii="Calibri" w:hAnsi="Calibri"/>
                <w:b w:val="0"/>
                <w:bCs w:val="0"/>
                <w:sz w:val="20"/>
                <w:szCs w:val="20"/>
              </w:rPr>
              <w:t>Ostatní činnosti</w:t>
            </w:r>
          </w:p>
        </w:tc>
        <w:tc>
          <w:tcPr>
            <w:tcW w:w="95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3</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2</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53"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52" w:type="dxa"/>
            <w:vAlign w:val="center"/>
          </w:tcPr>
          <w:p w:rsidR="00AD35C5" w:rsidRPr="001D032A" w:rsidRDefault="00AD35C5" w:rsidP="00AD35C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r>
      <w:tr w:rsidR="00AD35C5" w:rsidRPr="001D032A" w:rsidTr="00AD35C5">
        <w:trPr>
          <w:trHeight w:val="586"/>
        </w:trPr>
        <w:tc>
          <w:tcPr>
            <w:cnfStyle w:val="001000000000" w:firstRow="0" w:lastRow="0" w:firstColumn="1" w:lastColumn="0" w:oddVBand="0" w:evenVBand="0" w:oddHBand="0" w:evenHBand="0" w:firstRowFirstColumn="0" w:firstRowLastColumn="0" w:lastRowFirstColumn="0" w:lastRowLastColumn="0"/>
            <w:tcW w:w="2396" w:type="dxa"/>
            <w:vAlign w:val="center"/>
          </w:tcPr>
          <w:p w:rsidR="00AD35C5" w:rsidRPr="001D032A" w:rsidRDefault="00AD35C5" w:rsidP="00AD35C5">
            <w:pPr>
              <w:rPr>
                <w:rFonts w:ascii="Calibri" w:hAnsi="Calibri"/>
                <w:b w:val="0"/>
                <w:bCs w:val="0"/>
                <w:sz w:val="20"/>
                <w:szCs w:val="20"/>
              </w:rPr>
            </w:pPr>
            <w:r w:rsidRPr="001D032A">
              <w:rPr>
                <w:rFonts w:ascii="Calibri" w:hAnsi="Calibri"/>
                <w:b w:val="0"/>
                <w:bCs w:val="0"/>
                <w:sz w:val="20"/>
                <w:szCs w:val="20"/>
              </w:rPr>
              <w:t>Celkové náklady na preventivní zdravotní péči</w:t>
            </w:r>
          </w:p>
        </w:tc>
        <w:tc>
          <w:tcPr>
            <w:tcW w:w="95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79</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67</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51</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67</w:t>
            </w:r>
          </w:p>
        </w:tc>
        <w:tc>
          <w:tcPr>
            <w:tcW w:w="953"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76</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78</w:t>
            </w:r>
          </w:p>
        </w:tc>
        <w:tc>
          <w:tcPr>
            <w:tcW w:w="952" w:type="dxa"/>
            <w:vAlign w:val="center"/>
          </w:tcPr>
          <w:p w:rsidR="00AD35C5" w:rsidRPr="001D032A" w:rsidRDefault="00AD35C5" w:rsidP="00AD35C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86</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13019B">
      <w:pPr>
        <w:pStyle w:val="Nadpis3"/>
        <w:jc w:val="center"/>
      </w:pPr>
      <w:bookmarkStart w:id="158" w:name="_Toc491000278"/>
      <w:bookmarkStart w:id="159" w:name="_Toc525944198"/>
      <w:r w:rsidRPr="001D032A">
        <w:t>Zdroj: Ministerstvo zdravotnictví ČR</w:t>
      </w:r>
      <w:bookmarkEnd w:id="158"/>
      <w:bookmarkEnd w:id="159"/>
    </w:p>
    <w:p w:rsidR="0013019B" w:rsidRPr="001D032A" w:rsidRDefault="0013019B" w:rsidP="0013019B"/>
    <w:p w:rsidR="003E1B90" w:rsidRPr="001D032A" w:rsidRDefault="003E1B90" w:rsidP="003E1B90">
      <w:pPr>
        <w:pStyle w:val="Nadpis3"/>
      </w:pPr>
      <w:bookmarkStart w:id="160" w:name="_Toc460456855"/>
      <w:bookmarkStart w:id="161" w:name="_Toc491000279"/>
      <w:bookmarkStart w:id="162" w:name="_Toc525944199"/>
      <w:r w:rsidRPr="001D032A">
        <w:t>Závěr</w:t>
      </w:r>
      <w:bookmarkEnd w:id="160"/>
      <w:bookmarkEnd w:id="161"/>
      <w:bookmarkEnd w:id="162"/>
    </w:p>
    <w:p w:rsidR="00AD35C5" w:rsidRPr="001D032A" w:rsidRDefault="00AD35C5" w:rsidP="00AD35C5">
      <w:pPr>
        <w:jc w:val="both"/>
        <w:rPr>
          <w:sz w:val="24"/>
          <w:szCs w:val="24"/>
        </w:rPr>
      </w:pPr>
      <w:r w:rsidRPr="001D032A">
        <w:rPr>
          <w:sz w:val="24"/>
          <w:szCs w:val="24"/>
        </w:rPr>
        <w:t>Ministerstvo zdravotnictví ověřilo soulad plánovaných nákladů na jednotlivé segmenty s modelovaným dopadem úhradové vyhlášky na rok 2018. V případě OZP lze konstatovat, že struktura nákladů dle segmentů umožňuje naplnění cílů úhradové vyhlášky pro rok 2018 v případě jejího dodržení. Na nákladové i příjmové stránce existuje shoda mezi predikcí MZ a ZPP. Saldo roku 2018 je tudíž odhadováno jako mírně deficitní.</w:t>
      </w:r>
    </w:p>
    <w:p w:rsidR="008D2F33" w:rsidRDefault="008D2F33" w:rsidP="006A6F01">
      <w:pPr>
        <w:pStyle w:val="Nadpis2"/>
        <w:rPr>
          <w:rStyle w:val="Hypertextovodkaz"/>
          <w:color w:val="7B230B" w:themeColor="accent1" w:themeShade="BF"/>
          <w:u w:val="none"/>
        </w:rPr>
      </w:pPr>
    </w:p>
    <w:p w:rsidR="003E1B90" w:rsidRPr="001D032A" w:rsidRDefault="005A1CC4" w:rsidP="006A6F01">
      <w:pPr>
        <w:pStyle w:val="Nadpis2"/>
      </w:pPr>
      <w:hyperlink r:id="rId26" w:history="1">
        <w:bookmarkStart w:id="163" w:name="_Toc460456856"/>
        <w:bookmarkStart w:id="164" w:name="_Toc525944505"/>
        <w:r w:rsidR="003E1B90" w:rsidRPr="001D032A">
          <w:rPr>
            <w:rStyle w:val="Hypertextovodkaz"/>
            <w:color w:val="7B230B" w:themeColor="accent1" w:themeShade="BF"/>
            <w:u w:val="none"/>
          </w:rPr>
          <w:t>Zaměstnanecká pojišťovna Škoda</w:t>
        </w:r>
      </w:hyperlink>
      <w:r w:rsidR="003E1B90" w:rsidRPr="001D032A">
        <w:t xml:space="preserve"> (ZPŠ)</w:t>
      </w:r>
      <w:bookmarkEnd w:id="163"/>
      <w:bookmarkEnd w:id="164"/>
    </w:p>
    <w:p w:rsidR="003E1B90" w:rsidRPr="001D032A" w:rsidRDefault="003E1B90" w:rsidP="006A6F01">
      <w:pPr>
        <w:pStyle w:val="Nadpis3"/>
      </w:pPr>
      <w:bookmarkStart w:id="165" w:name="_Toc460456857"/>
      <w:bookmarkStart w:id="166" w:name="_Toc491000280"/>
      <w:bookmarkStart w:id="167" w:name="_Toc525944200"/>
      <w:r w:rsidRPr="001D032A">
        <w:t>Hodnocení ekonomické</w:t>
      </w:r>
      <w:bookmarkEnd w:id="165"/>
      <w:bookmarkEnd w:id="166"/>
      <w:bookmarkEnd w:id="167"/>
    </w:p>
    <w:p w:rsidR="00AD35C5" w:rsidRPr="001D032A" w:rsidRDefault="00AD35C5" w:rsidP="00AD35C5">
      <w:pPr>
        <w:jc w:val="both"/>
        <w:rPr>
          <w:sz w:val="24"/>
          <w:szCs w:val="24"/>
        </w:rPr>
      </w:pPr>
      <w:bookmarkStart w:id="168" w:name="_Toc460455315"/>
      <w:r w:rsidRPr="001D032A">
        <w:rPr>
          <w:sz w:val="24"/>
          <w:szCs w:val="24"/>
        </w:rPr>
        <w:t>ZPŠ plánuje v roce 2018 mírně přebytkové hospodaření. I přes očekávané výrazné zvýšení výdajů na úhradu poskytnutých zdravotních služeb je předpokládán nárůst konečného zůstatku ZFZP z důvodu plánovaného dalšího nárůstu příjmů, a to u všech kategorií plátců včetně zvýšení platby státu. Na straně celkových příjmů ZPŠ plánuje meziroční nárůst o 5,2 %, u celkových výdajů pak přibližně 6,7 %.</w:t>
      </w:r>
    </w:p>
    <w:p w:rsidR="00AD35C5" w:rsidRPr="001D032A" w:rsidRDefault="00AD35C5" w:rsidP="00AD35C5">
      <w:pPr>
        <w:jc w:val="both"/>
        <w:rPr>
          <w:sz w:val="24"/>
          <w:szCs w:val="24"/>
        </w:rPr>
      </w:pPr>
      <w:r w:rsidRPr="001D032A">
        <w:rPr>
          <w:sz w:val="24"/>
          <w:szCs w:val="24"/>
        </w:rPr>
        <w:t>Bilance celkových příjmů a výdajů se projeví ve stavu zůstatků na všech fondech k 31. 12. 2017 tak, že dosáhnou 655 mil. Kč, což by představovalo ekvivalent 37 dní průměrných výdajů na zdravotní služby. Z dlouhodobého hlediska rizikový vývoj zůstatků na bankovních účtech se v roce 2017 změnil a v roce 2018 je plánován jejich nárůst meziročně o 8,8 %. ZPŠ z tohoto pohledu patří k finančně nejstabilnějším zdravotním pojišťovnám.</w:t>
      </w:r>
    </w:p>
    <w:p w:rsidR="00AD35C5" w:rsidRPr="001D032A" w:rsidRDefault="00AD35C5" w:rsidP="00AD35C5">
      <w:pPr>
        <w:jc w:val="both"/>
        <w:rPr>
          <w:sz w:val="24"/>
          <w:szCs w:val="24"/>
        </w:rPr>
      </w:pPr>
      <w:r w:rsidRPr="001D032A">
        <w:rPr>
          <w:sz w:val="24"/>
          <w:szCs w:val="24"/>
        </w:rPr>
        <w:t xml:space="preserve">V roce 2018 dojde ke zvýšení přídělu na vlastní činnost (meziročně o 6 mil. Kč). Výdaje na vlastní činnost zdravotní pojišťovny rovněž stoupnou, a to ze 103 mil. Kč na 126 mil. Kč. Na </w:t>
      </w:r>
      <w:r w:rsidRPr="001D032A">
        <w:rPr>
          <w:sz w:val="24"/>
          <w:szCs w:val="24"/>
        </w:rPr>
        <w:lastRenderedPageBreak/>
        <w:t xml:space="preserve">straně provozních výdajů plánuje ZPŠ meziroční nárůst ostatních osobních nákladů (o 27,9 % na 1,1 mil. Kč). Ten souvisí s plánovaným zvýšením mezd pro zaměstnance pracující na DPP a DPČ i zvýšením jejich počtu (především revizních lékařů). </w:t>
      </w:r>
    </w:p>
    <w:p w:rsidR="00AD35C5" w:rsidRPr="001D032A" w:rsidRDefault="00AD35C5" w:rsidP="00AD35C5">
      <w:pPr>
        <w:jc w:val="both"/>
        <w:rPr>
          <w:sz w:val="24"/>
          <w:szCs w:val="24"/>
        </w:rPr>
      </w:pPr>
      <w:r w:rsidRPr="001D032A">
        <w:rPr>
          <w:sz w:val="24"/>
          <w:szCs w:val="24"/>
        </w:rPr>
        <w:t>ZPŠ v předchozích letech snižovala počet zaměstnanců v absolutních číslech, zároveň však zvyšovala počet pojištěnců. Ve výsledku počet pojištěnců na jednoho zaměstnance výrazně rostl. V roce 2017 došlo ke stabilizaci situace a pro rok 2018 ZPŠ plánuje nárůst o jednoho zaměstnance. Celkový počet pojištěnců na jednoho zaměstnance se nepatrně sníží z 1 856 na 1835. Jako v předcházejících letech je plánován nárůst průměrného počtu pojištěnců, i nárůst počtu státem hrazených pojištěnců, ovšem pouze v řádu stovek.</w:t>
      </w:r>
    </w:p>
    <w:p w:rsidR="00AD35C5" w:rsidRPr="001D032A" w:rsidRDefault="00AD35C5" w:rsidP="00AD35C5">
      <w:pPr>
        <w:jc w:val="both"/>
        <w:rPr>
          <w:sz w:val="24"/>
          <w:szCs w:val="24"/>
        </w:rPr>
      </w:pPr>
      <w:r w:rsidRPr="001D032A">
        <w:rPr>
          <w:sz w:val="24"/>
          <w:szCs w:val="24"/>
        </w:rPr>
        <w:t>Naplánovány byly výraznější investice do pořízení hmotného i nehmotného dlouhodobého majetku. Jejich výše meziročně stoupne z 3,1 mil. Kč na 18,5 mil. Kč. Za rok 2017 je očekávána úspora oproti ZPP 2017 ve výši 6,5 mil. Kč z důvodu nerealizované investice upgrade IS AVA, což bylo zapříčiněno překážkami na straně dodavatele. Tato investice bude realizována v roce 2018. Dále je naplánována významná obměna serverové infrastruktury. V roce 2018 bude použito rezerv FRM z minulých let.</w:t>
      </w:r>
    </w:p>
    <w:p w:rsidR="00AD35C5" w:rsidRPr="001D032A" w:rsidRDefault="00AD35C5" w:rsidP="00AD35C5">
      <w:pPr>
        <w:jc w:val="both"/>
        <w:rPr>
          <w:sz w:val="24"/>
          <w:szCs w:val="24"/>
        </w:rPr>
      </w:pPr>
      <w:r w:rsidRPr="001D032A">
        <w:rPr>
          <w:sz w:val="24"/>
          <w:szCs w:val="24"/>
        </w:rPr>
        <w:t xml:space="preserve">Výhled stavu pohledávek ZPŠ se příliš neliší od očekávané skutečnosti roku 2017, očekává se meziroční mírný nárůst o 1,2 % na 488 mil. Kč. Větší rozdíly se objevují na straně závazků, kdy je plánován meziroční nárůst o 5,5 % na 367 mil. Kč. Ve skupině po lhůtě splatnosti se nevyskytují žádné pohledávky vůči poskytovatelům zdravotní péče. </w:t>
      </w:r>
    </w:p>
    <w:p w:rsidR="003E1B90" w:rsidRPr="001D032A" w:rsidRDefault="003E1B90" w:rsidP="00FB4970">
      <w:pPr>
        <w:pStyle w:val="Nadpis3"/>
      </w:pPr>
      <w:bookmarkStart w:id="169" w:name="_Toc525944201"/>
      <w:r w:rsidRPr="001D032A">
        <w:t>Graf 7: Příjmy a výdaje ZPŠ</w:t>
      </w:r>
      <w:bookmarkEnd w:id="168"/>
      <w:r w:rsidR="00AD35C5" w:rsidRPr="001D032A">
        <w:t xml:space="preserve"> v milionech Kč</w:t>
      </w:r>
      <w:bookmarkEnd w:id="169"/>
    </w:p>
    <w:p w:rsidR="00E31C72" w:rsidRPr="001D032A" w:rsidRDefault="00AD35C5" w:rsidP="00E31C72">
      <w:r w:rsidRPr="001D032A">
        <w:rPr>
          <w:noProof/>
          <w:lang w:eastAsia="cs-CZ"/>
        </w:rPr>
        <w:drawing>
          <wp:inline distT="0" distB="0" distL="0" distR="0" wp14:anchorId="2E0335EE" wp14:editId="4C38BA83">
            <wp:extent cx="5745480" cy="2743200"/>
            <wp:effectExtent l="0" t="0" r="7620" b="0"/>
            <wp:docPr id="12" name="Graf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25A76A-2B7F-40EE-8DD5-715076937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6318D" w:rsidRPr="001D032A" w:rsidRDefault="00D6318D" w:rsidP="00D6318D">
      <w:pPr>
        <w:pStyle w:val="Bezmezer"/>
        <w:rPr>
          <w:sz w:val="20"/>
          <w:szCs w:val="20"/>
        </w:rPr>
      </w:pPr>
      <w:r w:rsidRPr="001D032A">
        <w:rPr>
          <w:sz w:val="20"/>
          <w:szCs w:val="20"/>
        </w:rPr>
        <w:t>* očekávaná skutečnost</w:t>
      </w:r>
    </w:p>
    <w:p w:rsidR="00D6318D" w:rsidRPr="001D032A" w:rsidRDefault="00D6318D" w:rsidP="00D6318D">
      <w:pPr>
        <w:pStyle w:val="Bezmezer"/>
        <w:rPr>
          <w:sz w:val="20"/>
          <w:szCs w:val="20"/>
        </w:rPr>
      </w:pPr>
      <w:r w:rsidRPr="001D032A">
        <w:rPr>
          <w:sz w:val="20"/>
          <w:szCs w:val="20"/>
        </w:rPr>
        <w:t xml:space="preserve">** převzato ze zdravotních pojistných plánů </w:t>
      </w:r>
    </w:p>
    <w:p w:rsidR="003E1B90" w:rsidRPr="001D032A" w:rsidRDefault="003E1B90" w:rsidP="00FB4970">
      <w:pPr>
        <w:pStyle w:val="Nadpis3"/>
        <w:jc w:val="center"/>
      </w:pPr>
      <w:bookmarkStart w:id="170" w:name="_Toc491000282"/>
      <w:bookmarkStart w:id="171" w:name="_Toc525944202"/>
      <w:r w:rsidRPr="001D032A">
        <w:t>Zdroj: Ministerstvo zdravotnictví ČR</w:t>
      </w:r>
      <w:bookmarkEnd w:id="170"/>
      <w:bookmarkEnd w:id="171"/>
    </w:p>
    <w:p w:rsidR="00FB4970" w:rsidRPr="001D032A" w:rsidRDefault="00FB4970" w:rsidP="00FB4970"/>
    <w:p w:rsidR="003E1B90" w:rsidRPr="001D032A" w:rsidRDefault="003E1B90" w:rsidP="003E1B90">
      <w:pPr>
        <w:pStyle w:val="Nadpis3"/>
      </w:pPr>
      <w:bookmarkStart w:id="172" w:name="_Toc460456858"/>
      <w:bookmarkStart w:id="173" w:name="_Toc491000283"/>
      <w:bookmarkStart w:id="174" w:name="_Toc525944203"/>
      <w:r w:rsidRPr="001D032A">
        <w:t>Hodnocení zdravotní</w:t>
      </w:r>
      <w:bookmarkEnd w:id="172"/>
      <w:bookmarkEnd w:id="173"/>
      <w:bookmarkEnd w:id="174"/>
      <w:r w:rsidRPr="001D032A">
        <w:t xml:space="preserve"> </w:t>
      </w:r>
    </w:p>
    <w:p w:rsidR="00D6318D" w:rsidRPr="001D032A" w:rsidRDefault="00D6318D" w:rsidP="00D6318D">
      <w:pPr>
        <w:jc w:val="both"/>
        <w:rPr>
          <w:sz w:val="24"/>
          <w:szCs w:val="24"/>
        </w:rPr>
      </w:pPr>
      <w:bookmarkStart w:id="175" w:name="_Toc460455316"/>
      <w:r w:rsidRPr="001D032A">
        <w:rPr>
          <w:sz w:val="24"/>
          <w:szCs w:val="24"/>
        </w:rPr>
        <w:t>V roce 2018 bude nejdůležitějším cílem smluvní politiky ZPŠ především zajištění časové i místní dostupnosti kvalitní zdravotní péče nejen v regionech zájmu, ale i pro pojištěnce mimo hlavní regiony zájmu.</w:t>
      </w:r>
    </w:p>
    <w:p w:rsidR="00D6318D" w:rsidRPr="001D032A" w:rsidRDefault="00D6318D" w:rsidP="00D6318D">
      <w:pPr>
        <w:jc w:val="both"/>
        <w:rPr>
          <w:sz w:val="24"/>
          <w:szCs w:val="24"/>
        </w:rPr>
      </w:pPr>
      <w:r w:rsidRPr="001D032A">
        <w:rPr>
          <w:sz w:val="24"/>
          <w:szCs w:val="24"/>
        </w:rPr>
        <w:lastRenderedPageBreak/>
        <w:t>ZPŠ uvádí, že v hlavních regionech působnosti (Středočeský kraj, Liberecký kraj, Královéhradecký kraj a částečně i Pardubický kraj), je časově a místně dostupná síť PZS vytvořena a bude pouze dotvářena či aktualizována podle potřeb svých pojištěnců. Podmínkami pro změnu či rozšiřování sítě bude generační obměna lékařů, objektivní potřeba zdravotních oborů či zdravotních služeb nebo neúměrné objednací doby, ale i nabídka ekonomicky efektivnějších, dostatečně kvalitních a komfortních zdravotních služeb.</w:t>
      </w:r>
    </w:p>
    <w:p w:rsidR="00D6318D" w:rsidRPr="001D032A" w:rsidRDefault="00D6318D" w:rsidP="00D6318D">
      <w:pPr>
        <w:jc w:val="both"/>
        <w:rPr>
          <w:sz w:val="24"/>
          <w:szCs w:val="24"/>
        </w:rPr>
      </w:pPr>
      <w:r w:rsidRPr="001D032A">
        <w:rPr>
          <w:sz w:val="24"/>
          <w:szCs w:val="24"/>
        </w:rPr>
        <w:t xml:space="preserve">ZPŠ bude doplňovat síť poskytovatelů i v oblastech, kde má minoritní zastoupení svých pojištěnců a je zde povinna dostupnost zdravotní péče zabezpečit. </w:t>
      </w:r>
    </w:p>
    <w:p w:rsidR="003E1B90" w:rsidRPr="001D032A" w:rsidRDefault="003E1B90" w:rsidP="004E31E0">
      <w:pPr>
        <w:pStyle w:val="Nadpis3"/>
      </w:pPr>
      <w:bookmarkStart w:id="176" w:name="_Toc525944204"/>
      <w:r w:rsidRPr="001D032A">
        <w:t>Tabulka 16: Soustava smluvních poskytovatelů zdravotních služeb</w:t>
      </w:r>
      <w:bookmarkEnd w:id="175"/>
      <w:bookmarkEnd w:id="176"/>
    </w:p>
    <w:tbl>
      <w:tblPr>
        <w:tblStyle w:val="Tabulkasmkou4zvraznn1"/>
        <w:tblW w:w="9062" w:type="dxa"/>
        <w:tblLayout w:type="fixed"/>
        <w:tblLook w:val="04A0" w:firstRow="1" w:lastRow="0" w:firstColumn="1" w:lastColumn="0" w:noHBand="0" w:noVBand="1"/>
      </w:tblPr>
      <w:tblGrid>
        <w:gridCol w:w="2227"/>
        <w:gridCol w:w="977"/>
        <w:gridCol w:w="977"/>
        <w:gridCol w:w="977"/>
        <w:gridCol w:w="976"/>
        <w:gridCol w:w="976"/>
        <w:gridCol w:w="976"/>
        <w:gridCol w:w="976"/>
      </w:tblGrid>
      <w:tr w:rsidR="004E31E0" w:rsidRPr="001D032A" w:rsidTr="004E31E0">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4E31E0" w:rsidRPr="001D032A" w:rsidRDefault="004E31E0" w:rsidP="003E1B90">
            <w:pPr>
              <w:jc w:val="center"/>
              <w:rPr>
                <w:rFonts w:ascii="Calibri" w:hAnsi="Calibri"/>
                <w:bCs w:val="0"/>
                <w:color w:val="FFFFFF"/>
              </w:rPr>
            </w:pPr>
            <w:r w:rsidRPr="001D032A">
              <w:rPr>
                <w:rFonts w:ascii="Calibri" w:hAnsi="Calibri"/>
                <w:bCs w:val="0"/>
                <w:color w:val="FFFFFF"/>
              </w:rPr>
              <w:t>Kategorie</w:t>
            </w:r>
          </w:p>
          <w:p w:rsidR="004E31E0" w:rsidRPr="001D032A" w:rsidRDefault="004E31E0" w:rsidP="003E1B90">
            <w:pPr>
              <w:jc w:val="center"/>
              <w:rPr>
                <w:rFonts w:ascii="Calibri" w:hAnsi="Calibri"/>
                <w:bCs w:val="0"/>
                <w:color w:val="FFFFFF"/>
              </w:rPr>
            </w:pPr>
            <w:r w:rsidRPr="001D032A">
              <w:rPr>
                <w:rFonts w:ascii="Calibri" w:hAnsi="Calibri"/>
                <w:bCs w:val="0"/>
                <w:color w:val="FFFFFF"/>
              </w:rPr>
              <w:t>smluvních PSZ</w:t>
            </w:r>
          </w:p>
        </w:tc>
        <w:tc>
          <w:tcPr>
            <w:tcW w:w="977"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2</w:t>
            </w:r>
          </w:p>
        </w:tc>
        <w:tc>
          <w:tcPr>
            <w:tcW w:w="977"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3</w:t>
            </w:r>
          </w:p>
        </w:tc>
        <w:tc>
          <w:tcPr>
            <w:tcW w:w="977"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4</w:t>
            </w:r>
          </w:p>
        </w:tc>
        <w:tc>
          <w:tcPr>
            <w:tcW w:w="97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5</w:t>
            </w:r>
          </w:p>
        </w:tc>
        <w:tc>
          <w:tcPr>
            <w:tcW w:w="97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6</w:t>
            </w:r>
          </w:p>
        </w:tc>
        <w:tc>
          <w:tcPr>
            <w:tcW w:w="97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7</w:t>
            </w:r>
            <w:r w:rsidRPr="001D032A">
              <w:rPr>
                <w:rFonts w:ascii="Calibri" w:hAnsi="Calibri"/>
                <w:bCs w:val="0"/>
                <w:color w:val="FFFFFF"/>
              </w:rPr>
              <w:t>*</w:t>
            </w:r>
          </w:p>
        </w:tc>
        <w:tc>
          <w:tcPr>
            <w:tcW w:w="97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8</w:t>
            </w:r>
            <w:r w:rsidRPr="001D032A">
              <w:rPr>
                <w:rFonts w:ascii="Calibri" w:hAnsi="Calibri"/>
                <w:bCs w:val="0"/>
                <w:color w:val="FFFFFF"/>
              </w:rPr>
              <w:t>**</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Ambulantní poskytovatelé</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3 725</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4 014</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4 228</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4 440</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4 686</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4 871</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5 030</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 xml:space="preserve">Praktický lékař pro dospělé </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578</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619</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658</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712</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753</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775</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800</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 xml:space="preserve">Praktický lékař pro děti a dorost </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353</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382</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407</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419</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441</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448</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460</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Praktický zubní lékař</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771</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814</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847</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890</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945</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990</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1 020</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 xml:space="preserve">Ostatní ambulantní poskytovatelé </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2 023</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2 199</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2 316</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2 419</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2 547</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2 658</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2 750</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 xml:space="preserve">Lůžkoví poskytovatelé </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241</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269</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277</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298</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298</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304</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311</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 xml:space="preserve">Ostatní poskytovatelé </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995</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1 228</w:t>
            </w:r>
          </w:p>
        </w:tc>
        <w:tc>
          <w:tcPr>
            <w:tcW w:w="977"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1 272</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1 814</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1 927</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1 973</w:t>
            </w:r>
          </w:p>
        </w:tc>
        <w:tc>
          <w:tcPr>
            <w:tcW w:w="97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2 016</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D6318D" w:rsidRPr="001D032A" w:rsidRDefault="00D6318D" w:rsidP="00D6318D">
            <w:pPr>
              <w:rPr>
                <w:b w:val="0"/>
                <w:bCs w:val="0"/>
                <w:sz w:val="20"/>
                <w:szCs w:val="20"/>
              </w:rPr>
            </w:pPr>
            <w:r w:rsidRPr="001D032A">
              <w:rPr>
                <w:b w:val="0"/>
                <w:bCs w:val="0"/>
                <w:sz w:val="20"/>
                <w:szCs w:val="20"/>
              </w:rPr>
              <w:t>Celkem</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1D032A">
              <w:rPr>
                <w:rFonts w:cs="Arial"/>
                <w:b/>
                <w:bCs/>
                <w:sz w:val="21"/>
                <w:szCs w:val="21"/>
              </w:rPr>
              <w:t>4 961</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1D032A">
              <w:rPr>
                <w:rFonts w:cs="Arial"/>
                <w:b/>
                <w:bCs/>
                <w:sz w:val="21"/>
                <w:szCs w:val="21"/>
              </w:rPr>
              <w:t>5 511</w:t>
            </w:r>
          </w:p>
        </w:tc>
        <w:tc>
          <w:tcPr>
            <w:tcW w:w="977"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5 777</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6 552</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6 911</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7 148</w:t>
            </w:r>
          </w:p>
        </w:tc>
        <w:tc>
          <w:tcPr>
            <w:tcW w:w="97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7 357</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4E31E0">
      <w:pPr>
        <w:pStyle w:val="Nadpis3"/>
        <w:jc w:val="center"/>
      </w:pPr>
      <w:bookmarkStart w:id="177" w:name="_Toc491000285"/>
      <w:bookmarkStart w:id="178" w:name="_Toc525944205"/>
      <w:r w:rsidRPr="001D032A">
        <w:t>Zdroj: Ministerstvo zdravotnictví ČR</w:t>
      </w:r>
      <w:bookmarkEnd w:id="177"/>
      <w:bookmarkEnd w:id="178"/>
    </w:p>
    <w:p w:rsidR="004E31E0" w:rsidRPr="001D032A" w:rsidRDefault="004E31E0" w:rsidP="004E31E0"/>
    <w:p w:rsidR="00D6318D" w:rsidRPr="001D032A" w:rsidRDefault="00D6318D" w:rsidP="00D6318D">
      <w:pPr>
        <w:jc w:val="both"/>
        <w:rPr>
          <w:sz w:val="24"/>
          <w:szCs w:val="24"/>
        </w:rPr>
      </w:pPr>
      <w:bookmarkStart w:id="179" w:name="_Toc460455317"/>
      <w:r w:rsidRPr="001D032A">
        <w:rPr>
          <w:bCs/>
          <w:spacing w:val="-4"/>
          <w:sz w:val="24"/>
          <w:szCs w:val="24"/>
        </w:rPr>
        <w:t>Náklady na zdravotní služby</w:t>
      </w:r>
      <w:r w:rsidRPr="001D032A">
        <w:rPr>
          <w:spacing w:val="-4"/>
          <w:sz w:val="24"/>
          <w:szCs w:val="24"/>
        </w:rPr>
        <w:t xml:space="preserve"> čerpané ze ZFZP </w:t>
      </w:r>
      <w:r w:rsidRPr="001D032A">
        <w:rPr>
          <w:sz w:val="24"/>
          <w:szCs w:val="24"/>
        </w:rPr>
        <w:t xml:space="preserve">plánuje ZPŠ ve výši 3 805 mil. Kč, což představuje meziroční nárůst oproti očekávané skutečnosti roku 2017 o 6,0 %. </w:t>
      </w:r>
      <w:r w:rsidRPr="001D032A">
        <w:rPr>
          <w:spacing w:val="-4"/>
          <w:sz w:val="24"/>
          <w:szCs w:val="24"/>
        </w:rPr>
        <w:t>Průměrné náklady na zdravotní služby na 1 pojištěnce jsou plánovány ve výši 26 590</w:t>
      </w:r>
      <w:r w:rsidRPr="001D032A">
        <w:rPr>
          <w:sz w:val="24"/>
          <w:szCs w:val="24"/>
        </w:rPr>
        <w:t xml:space="preserve"> Kč, což znamená meziroční nárůst o 5,8 % oproti očekávané skutečnosti roku 2017. Celkové náklady na zdravotní služby i náklady v přepočtu na 1 pojištěnce budou v roce 2018 nadále vykazovat rostoucí trend.</w:t>
      </w:r>
    </w:p>
    <w:p w:rsidR="00D6318D" w:rsidRPr="001D032A" w:rsidRDefault="00D6318D" w:rsidP="00D6318D">
      <w:pPr>
        <w:jc w:val="both"/>
        <w:rPr>
          <w:sz w:val="24"/>
          <w:szCs w:val="24"/>
        </w:rPr>
      </w:pPr>
      <w:r w:rsidRPr="001D032A">
        <w:rPr>
          <w:sz w:val="24"/>
          <w:szCs w:val="24"/>
        </w:rPr>
        <w:t>Meziroční nárůst nákladů je očekáván ve většině segmentů zdravotní péče. U ambulantní péče ZPŠ plánuje navýšení nákladů celkem o 5,3 % na 933 mil. Kč. V objemově největším segmentu lůžkové zdravotní péče je předpokládán nárůst nákladů o 7,2 % na 2 105 mil. Kč. Po přepočtu na 1 pojištěnce se předpokládá 5,1% nárůst nákladů na ambulantní péči, náklady na lůžkovou péči pak meziročně vzrostou o 7,0 %.</w:t>
      </w:r>
    </w:p>
    <w:p w:rsidR="004E31E0" w:rsidRPr="001D032A" w:rsidRDefault="004E31E0">
      <w:pPr>
        <w:rPr>
          <w:sz w:val="24"/>
          <w:szCs w:val="24"/>
        </w:rPr>
      </w:pPr>
    </w:p>
    <w:p w:rsidR="003E1B90" w:rsidRPr="001D032A" w:rsidRDefault="003E1B90" w:rsidP="00276CD0">
      <w:pPr>
        <w:pStyle w:val="Nadpis3"/>
      </w:pPr>
      <w:bookmarkStart w:id="180" w:name="_Toc525944206"/>
      <w:r w:rsidRPr="001D032A">
        <w:lastRenderedPageBreak/>
        <w:t>Tabulka 17: Struktura nákladů na zdravotní služby podle jednotlivých segmentů</w:t>
      </w:r>
      <w:bookmarkEnd w:id="179"/>
      <w:bookmarkEnd w:id="180"/>
    </w:p>
    <w:tbl>
      <w:tblPr>
        <w:tblStyle w:val="Tabulkasmkou4zvraznn1"/>
        <w:tblW w:w="9062" w:type="dxa"/>
        <w:tblLayout w:type="fixed"/>
        <w:tblLook w:val="04A0" w:firstRow="1" w:lastRow="0" w:firstColumn="1" w:lastColumn="0" w:noHBand="0" w:noVBand="1"/>
      </w:tblPr>
      <w:tblGrid>
        <w:gridCol w:w="1671"/>
        <w:gridCol w:w="1055"/>
        <w:gridCol w:w="1056"/>
        <w:gridCol w:w="1056"/>
        <w:gridCol w:w="1056"/>
        <w:gridCol w:w="1056"/>
        <w:gridCol w:w="1056"/>
        <w:gridCol w:w="1056"/>
      </w:tblGrid>
      <w:tr w:rsidR="004E31E0" w:rsidRPr="001D032A" w:rsidTr="00276CD0">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4E31E0" w:rsidRPr="001D032A" w:rsidRDefault="004E31E0" w:rsidP="003E1B90">
            <w:pPr>
              <w:jc w:val="center"/>
              <w:rPr>
                <w:rFonts w:ascii="Calibri" w:hAnsi="Calibri"/>
                <w:bCs w:val="0"/>
                <w:color w:val="FFFFFF"/>
              </w:rPr>
            </w:pPr>
            <w:r w:rsidRPr="001D032A">
              <w:rPr>
                <w:rFonts w:ascii="Calibri" w:hAnsi="Calibri"/>
                <w:bCs w:val="0"/>
                <w:color w:val="FFFFFF"/>
              </w:rPr>
              <w:t>Ukazatel</w:t>
            </w:r>
          </w:p>
          <w:p w:rsidR="004E31E0" w:rsidRPr="001D032A" w:rsidRDefault="004E31E0" w:rsidP="003E1B90">
            <w:pPr>
              <w:jc w:val="center"/>
              <w:rPr>
                <w:rFonts w:ascii="Calibri" w:hAnsi="Calibri"/>
                <w:bCs w:val="0"/>
                <w:color w:val="FFFFFF"/>
              </w:rPr>
            </w:pPr>
            <w:r w:rsidRPr="001D032A">
              <w:rPr>
                <w:rFonts w:ascii="Calibri" w:hAnsi="Calibri"/>
                <w:bCs w:val="0"/>
                <w:color w:val="FFFFFF"/>
              </w:rPr>
              <w:t>(v mil. Kč)</w:t>
            </w:r>
          </w:p>
        </w:tc>
        <w:tc>
          <w:tcPr>
            <w:tcW w:w="1055"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2</w:t>
            </w:r>
          </w:p>
        </w:tc>
        <w:tc>
          <w:tcPr>
            <w:tcW w:w="105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3</w:t>
            </w:r>
          </w:p>
        </w:tc>
        <w:tc>
          <w:tcPr>
            <w:tcW w:w="105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4</w:t>
            </w:r>
          </w:p>
        </w:tc>
        <w:tc>
          <w:tcPr>
            <w:tcW w:w="105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5</w:t>
            </w:r>
          </w:p>
        </w:tc>
        <w:tc>
          <w:tcPr>
            <w:tcW w:w="105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6</w:t>
            </w:r>
          </w:p>
        </w:tc>
        <w:tc>
          <w:tcPr>
            <w:tcW w:w="105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7</w:t>
            </w:r>
            <w:r w:rsidRPr="001D032A">
              <w:rPr>
                <w:rFonts w:ascii="Calibri" w:hAnsi="Calibri"/>
                <w:bCs w:val="0"/>
                <w:color w:val="FFFFFF"/>
              </w:rPr>
              <w:t>*</w:t>
            </w:r>
          </w:p>
        </w:tc>
        <w:tc>
          <w:tcPr>
            <w:tcW w:w="1056" w:type="dxa"/>
            <w:vAlign w:val="center"/>
          </w:tcPr>
          <w:p w:rsidR="004E31E0" w:rsidRPr="001D032A" w:rsidRDefault="004E31E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8</w:t>
            </w:r>
            <w:r w:rsidRPr="001D032A">
              <w:rPr>
                <w:rFonts w:ascii="Calibri" w:hAnsi="Calibri"/>
                <w:bCs w:val="0"/>
                <w:color w:val="FFFFFF"/>
              </w:rPr>
              <w:t>**</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D6318D" w:rsidRPr="001D032A" w:rsidRDefault="00D6318D" w:rsidP="00D6318D">
            <w:pPr>
              <w:rPr>
                <w:rFonts w:ascii="Calibri" w:hAnsi="Calibri"/>
                <w:b w:val="0"/>
                <w:sz w:val="20"/>
                <w:szCs w:val="20"/>
              </w:rPr>
            </w:pPr>
            <w:r w:rsidRPr="001D032A">
              <w:rPr>
                <w:rFonts w:ascii="Calibri" w:hAnsi="Calibri"/>
                <w:b w:val="0"/>
                <w:sz w:val="20"/>
                <w:szCs w:val="20"/>
              </w:rPr>
              <w:t>Náklady na ambulantní péči</w:t>
            </w:r>
          </w:p>
        </w:tc>
        <w:tc>
          <w:tcPr>
            <w:tcW w:w="1055"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658</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703</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737</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795</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832</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886</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933</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D6318D" w:rsidRPr="001D032A" w:rsidRDefault="00D6318D" w:rsidP="00D6318D">
            <w:pPr>
              <w:rPr>
                <w:rFonts w:ascii="Calibri" w:hAnsi="Calibri"/>
                <w:b w:val="0"/>
                <w:sz w:val="20"/>
                <w:szCs w:val="20"/>
              </w:rPr>
            </w:pPr>
            <w:r w:rsidRPr="001D032A">
              <w:rPr>
                <w:rFonts w:ascii="Calibri" w:hAnsi="Calibri"/>
                <w:b w:val="0"/>
                <w:sz w:val="20"/>
                <w:szCs w:val="20"/>
              </w:rPr>
              <w:t>Náklady na lůžkovou péči</w:t>
            </w:r>
          </w:p>
        </w:tc>
        <w:tc>
          <w:tcPr>
            <w:tcW w:w="1055"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1 474</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1 452</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1 624</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1 707</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1 785</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1 964</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2 105</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D6318D" w:rsidRPr="001D032A" w:rsidRDefault="00D6318D" w:rsidP="00D6318D">
            <w:pPr>
              <w:rPr>
                <w:rFonts w:ascii="Calibri" w:hAnsi="Calibri"/>
                <w:b w:val="0"/>
                <w:sz w:val="20"/>
                <w:szCs w:val="20"/>
              </w:rPr>
            </w:pPr>
            <w:r w:rsidRPr="001D032A">
              <w:rPr>
                <w:rFonts w:ascii="Calibri" w:hAnsi="Calibri"/>
                <w:b w:val="0"/>
                <w:sz w:val="20"/>
                <w:szCs w:val="20"/>
              </w:rPr>
              <w:t>Ostatní náklady</w:t>
            </w:r>
          </w:p>
        </w:tc>
        <w:tc>
          <w:tcPr>
            <w:tcW w:w="1055"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649</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636</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665</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667</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703</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740</w:t>
            </w:r>
          </w:p>
        </w:tc>
        <w:tc>
          <w:tcPr>
            <w:tcW w:w="1056"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767</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D6318D" w:rsidRPr="001D032A" w:rsidRDefault="00D6318D" w:rsidP="00D6318D">
            <w:pPr>
              <w:rPr>
                <w:rFonts w:ascii="Calibri" w:hAnsi="Calibri"/>
                <w:b w:val="0"/>
                <w:sz w:val="20"/>
                <w:szCs w:val="20"/>
              </w:rPr>
            </w:pPr>
            <w:r w:rsidRPr="001D032A">
              <w:rPr>
                <w:rFonts w:ascii="Calibri" w:hAnsi="Calibri"/>
                <w:b w:val="0"/>
                <w:sz w:val="20"/>
                <w:szCs w:val="20"/>
              </w:rPr>
              <w:t>Celkové náklady</w:t>
            </w:r>
          </w:p>
        </w:tc>
        <w:tc>
          <w:tcPr>
            <w:tcW w:w="1055"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2 781</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2 791</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3 026</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3 169</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3 320</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3 590</w:t>
            </w:r>
          </w:p>
        </w:tc>
        <w:tc>
          <w:tcPr>
            <w:tcW w:w="1056"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3 805</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276CD0">
      <w:pPr>
        <w:pStyle w:val="Nadpis3"/>
        <w:jc w:val="center"/>
      </w:pPr>
      <w:bookmarkStart w:id="181" w:name="_Toc491000287"/>
      <w:bookmarkStart w:id="182" w:name="_Toc525944207"/>
      <w:r w:rsidRPr="001D032A">
        <w:t>Zdroj: Ministerstvo zdravotnictví ČR</w:t>
      </w:r>
      <w:bookmarkEnd w:id="181"/>
      <w:bookmarkEnd w:id="182"/>
    </w:p>
    <w:p w:rsidR="00276CD0" w:rsidRPr="001D032A" w:rsidRDefault="00276CD0" w:rsidP="00276CD0"/>
    <w:p w:rsidR="00D6318D" w:rsidRPr="001D032A" w:rsidRDefault="00D6318D" w:rsidP="00D6318D">
      <w:pPr>
        <w:jc w:val="both"/>
        <w:rPr>
          <w:rFonts w:cs="Arial"/>
          <w:sz w:val="24"/>
          <w:szCs w:val="24"/>
        </w:rPr>
      </w:pPr>
      <w:bookmarkStart w:id="183" w:name="_Toc460455318"/>
      <w:r w:rsidRPr="001D032A">
        <w:rPr>
          <w:bCs/>
          <w:sz w:val="24"/>
          <w:szCs w:val="24"/>
        </w:rPr>
        <w:t>Náklady na preventivní péči</w:t>
      </w:r>
      <w:r w:rsidRPr="001D032A">
        <w:rPr>
          <w:sz w:val="24"/>
          <w:szCs w:val="24"/>
        </w:rPr>
        <w:t xml:space="preserve"> čerpané z Fprev plánuje ZPŠ ve výši 27,0 mil. Kč, tj. meziroční zvýšení nákladů o 8,0 %, v absolutním vyjádření o 2,0 mil. Kč. Program prevence ZPŠ pro rok 2018 je členěn do tří základních skupin. U zdravotně preventivních programů dojde k nárůstu nákladů o 12,7 %, u ozdravných pobytů o 30,1 % a u ostatní činnosti o 3,3 %.</w:t>
      </w:r>
      <w:r w:rsidRPr="001D032A">
        <w:rPr>
          <w:color w:val="FF0000"/>
          <w:sz w:val="24"/>
          <w:szCs w:val="24"/>
        </w:rPr>
        <w:t xml:space="preserve"> </w:t>
      </w:r>
    </w:p>
    <w:p w:rsidR="003E1B90" w:rsidRPr="001D032A" w:rsidRDefault="003E1B90" w:rsidP="00276CD0">
      <w:pPr>
        <w:pStyle w:val="Nadpis3"/>
      </w:pPr>
      <w:bookmarkStart w:id="184" w:name="_Toc525944208"/>
      <w:r w:rsidRPr="001D032A">
        <w:t>Tabulka 18: Náklady na preventivní zdravotní péči čerpané z fondu prevence</w:t>
      </w:r>
      <w:bookmarkEnd w:id="183"/>
      <w:bookmarkEnd w:id="184"/>
    </w:p>
    <w:tbl>
      <w:tblPr>
        <w:tblStyle w:val="Tabulkasmkou4zvraznn1"/>
        <w:tblW w:w="9062" w:type="dxa"/>
        <w:tblLayout w:type="fixed"/>
        <w:tblLook w:val="04A0" w:firstRow="1" w:lastRow="0" w:firstColumn="1" w:lastColumn="0" w:noHBand="0" w:noVBand="1"/>
      </w:tblPr>
      <w:tblGrid>
        <w:gridCol w:w="2488"/>
        <w:gridCol w:w="938"/>
        <w:gridCol w:w="939"/>
        <w:gridCol w:w="939"/>
        <w:gridCol w:w="939"/>
        <w:gridCol w:w="939"/>
        <w:gridCol w:w="940"/>
        <w:gridCol w:w="940"/>
      </w:tblGrid>
      <w:tr w:rsidR="00276CD0" w:rsidRPr="001D032A" w:rsidTr="00276CD0">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276CD0" w:rsidRPr="001D032A" w:rsidRDefault="00276CD0" w:rsidP="003E1B90">
            <w:pPr>
              <w:jc w:val="center"/>
              <w:rPr>
                <w:rFonts w:ascii="Calibri" w:hAnsi="Calibri"/>
                <w:bCs w:val="0"/>
                <w:color w:val="FFFFFF"/>
              </w:rPr>
            </w:pPr>
            <w:r w:rsidRPr="001D032A">
              <w:rPr>
                <w:rFonts w:ascii="Calibri" w:hAnsi="Calibri"/>
                <w:bCs w:val="0"/>
                <w:color w:val="FFFFFF"/>
              </w:rPr>
              <w:t>Ukazatel</w:t>
            </w:r>
          </w:p>
          <w:p w:rsidR="00276CD0" w:rsidRPr="001D032A" w:rsidRDefault="00276CD0" w:rsidP="003E1B90">
            <w:pPr>
              <w:jc w:val="center"/>
              <w:rPr>
                <w:rFonts w:ascii="Calibri" w:hAnsi="Calibri"/>
                <w:bCs w:val="0"/>
                <w:color w:val="FFFFFF"/>
              </w:rPr>
            </w:pPr>
            <w:r w:rsidRPr="001D032A">
              <w:rPr>
                <w:rFonts w:ascii="Calibri" w:hAnsi="Calibri"/>
                <w:bCs w:val="0"/>
                <w:color w:val="FFFFFF"/>
              </w:rPr>
              <w:t>(</w:t>
            </w:r>
            <w:r w:rsidR="008D2F33">
              <w:rPr>
                <w:rFonts w:ascii="Calibri" w:hAnsi="Calibri"/>
                <w:bCs w:val="0"/>
                <w:color w:val="FFFFFF"/>
              </w:rPr>
              <w:t>v mil.</w:t>
            </w:r>
            <w:r w:rsidRPr="001D032A">
              <w:rPr>
                <w:rFonts w:ascii="Calibri" w:hAnsi="Calibri"/>
                <w:bCs w:val="0"/>
                <w:color w:val="FFFFFF"/>
              </w:rPr>
              <w:t xml:space="preserve"> Kč)</w:t>
            </w:r>
          </w:p>
        </w:tc>
        <w:tc>
          <w:tcPr>
            <w:tcW w:w="938"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2</w:t>
            </w:r>
          </w:p>
        </w:tc>
        <w:tc>
          <w:tcPr>
            <w:tcW w:w="939"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3</w:t>
            </w:r>
          </w:p>
        </w:tc>
        <w:tc>
          <w:tcPr>
            <w:tcW w:w="939"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4</w:t>
            </w:r>
          </w:p>
        </w:tc>
        <w:tc>
          <w:tcPr>
            <w:tcW w:w="939"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5</w:t>
            </w:r>
          </w:p>
        </w:tc>
        <w:tc>
          <w:tcPr>
            <w:tcW w:w="939"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6</w:t>
            </w:r>
          </w:p>
        </w:tc>
        <w:tc>
          <w:tcPr>
            <w:tcW w:w="940"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7</w:t>
            </w:r>
            <w:r w:rsidRPr="001D032A">
              <w:rPr>
                <w:rFonts w:ascii="Calibri" w:hAnsi="Calibri"/>
                <w:bCs w:val="0"/>
                <w:color w:val="FFFFFF"/>
              </w:rPr>
              <w:t>*</w:t>
            </w:r>
          </w:p>
        </w:tc>
        <w:tc>
          <w:tcPr>
            <w:tcW w:w="940" w:type="dxa"/>
            <w:vAlign w:val="center"/>
          </w:tcPr>
          <w:p w:rsidR="00276CD0" w:rsidRPr="001D032A" w:rsidRDefault="00276CD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8</w:t>
            </w:r>
            <w:r w:rsidRPr="001D032A">
              <w:rPr>
                <w:rFonts w:ascii="Calibri" w:hAnsi="Calibri"/>
                <w:bCs w:val="0"/>
                <w:color w:val="FFFFFF"/>
              </w:rPr>
              <w:t>**</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D6318D" w:rsidRPr="001D032A" w:rsidRDefault="00D6318D" w:rsidP="00D6318D">
            <w:pPr>
              <w:rPr>
                <w:rFonts w:ascii="Calibri" w:hAnsi="Calibri"/>
                <w:b w:val="0"/>
                <w:bCs w:val="0"/>
                <w:sz w:val="20"/>
                <w:szCs w:val="20"/>
              </w:rPr>
            </w:pPr>
            <w:r w:rsidRPr="001D032A">
              <w:rPr>
                <w:rFonts w:ascii="Calibri" w:hAnsi="Calibri"/>
                <w:b w:val="0"/>
                <w:bCs w:val="0"/>
                <w:sz w:val="20"/>
                <w:szCs w:val="20"/>
              </w:rPr>
              <w:t>Náklady na zdravotní programy</w:t>
            </w:r>
          </w:p>
        </w:tc>
        <w:tc>
          <w:tcPr>
            <w:tcW w:w="938"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10</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9</w:t>
            </w:r>
          </w:p>
        </w:tc>
        <w:tc>
          <w:tcPr>
            <w:tcW w:w="940"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9</w:t>
            </w:r>
          </w:p>
        </w:tc>
        <w:tc>
          <w:tcPr>
            <w:tcW w:w="940"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11</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D6318D" w:rsidRPr="001D032A" w:rsidRDefault="00D6318D" w:rsidP="00D6318D">
            <w:pPr>
              <w:rPr>
                <w:rFonts w:ascii="Calibri" w:hAnsi="Calibri"/>
                <w:b w:val="0"/>
                <w:bCs w:val="0"/>
                <w:sz w:val="20"/>
                <w:szCs w:val="20"/>
              </w:rPr>
            </w:pPr>
            <w:r w:rsidRPr="001D032A">
              <w:rPr>
                <w:rFonts w:ascii="Calibri" w:hAnsi="Calibri"/>
                <w:b w:val="0"/>
                <w:bCs w:val="0"/>
                <w:sz w:val="20"/>
                <w:szCs w:val="20"/>
              </w:rPr>
              <w:t>Náklady na ozdravné pobyty</w:t>
            </w:r>
          </w:p>
        </w:tc>
        <w:tc>
          <w:tcPr>
            <w:tcW w:w="938"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w:t>
            </w:r>
          </w:p>
        </w:tc>
        <w:tc>
          <w:tcPr>
            <w:tcW w:w="940"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w:t>
            </w:r>
          </w:p>
        </w:tc>
        <w:tc>
          <w:tcPr>
            <w:tcW w:w="940"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D6318D" w:rsidRPr="001D032A" w:rsidRDefault="00D6318D" w:rsidP="00D6318D">
            <w:pPr>
              <w:rPr>
                <w:rFonts w:ascii="Calibri" w:hAnsi="Calibri"/>
                <w:b w:val="0"/>
                <w:bCs w:val="0"/>
                <w:sz w:val="20"/>
                <w:szCs w:val="20"/>
              </w:rPr>
            </w:pPr>
            <w:r w:rsidRPr="001D032A">
              <w:rPr>
                <w:rFonts w:ascii="Calibri" w:hAnsi="Calibri"/>
                <w:b w:val="0"/>
                <w:bCs w:val="0"/>
                <w:sz w:val="20"/>
                <w:szCs w:val="20"/>
              </w:rPr>
              <w:t>Ostatní činnosti</w:t>
            </w:r>
          </w:p>
        </w:tc>
        <w:tc>
          <w:tcPr>
            <w:tcW w:w="938"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9</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17</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19</w:t>
            </w:r>
          </w:p>
        </w:tc>
        <w:tc>
          <w:tcPr>
            <w:tcW w:w="939"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13</w:t>
            </w:r>
          </w:p>
        </w:tc>
        <w:tc>
          <w:tcPr>
            <w:tcW w:w="940"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14</w:t>
            </w:r>
          </w:p>
        </w:tc>
        <w:tc>
          <w:tcPr>
            <w:tcW w:w="940"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15</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488" w:type="dxa"/>
            <w:vAlign w:val="center"/>
          </w:tcPr>
          <w:p w:rsidR="00D6318D" w:rsidRPr="001D032A" w:rsidRDefault="00D6318D" w:rsidP="00D6318D">
            <w:pPr>
              <w:rPr>
                <w:rFonts w:ascii="Calibri" w:hAnsi="Calibri"/>
                <w:b w:val="0"/>
                <w:bCs w:val="0"/>
                <w:sz w:val="20"/>
                <w:szCs w:val="20"/>
              </w:rPr>
            </w:pPr>
            <w:r w:rsidRPr="001D032A">
              <w:rPr>
                <w:rFonts w:ascii="Calibri" w:hAnsi="Calibri"/>
                <w:b w:val="0"/>
                <w:bCs w:val="0"/>
                <w:sz w:val="20"/>
                <w:szCs w:val="20"/>
              </w:rPr>
              <w:t>Celkové náklady na preventivní zdravotní péči</w:t>
            </w:r>
          </w:p>
        </w:tc>
        <w:tc>
          <w:tcPr>
            <w:tcW w:w="938"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15</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17</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26</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30</w:t>
            </w:r>
          </w:p>
        </w:tc>
        <w:tc>
          <w:tcPr>
            <w:tcW w:w="939"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24</w:t>
            </w:r>
          </w:p>
        </w:tc>
        <w:tc>
          <w:tcPr>
            <w:tcW w:w="940"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25</w:t>
            </w:r>
          </w:p>
        </w:tc>
        <w:tc>
          <w:tcPr>
            <w:tcW w:w="940"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27</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276CD0">
      <w:pPr>
        <w:pStyle w:val="Nadpis3"/>
        <w:jc w:val="center"/>
      </w:pPr>
      <w:bookmarkStart w:id="185" w:name="_Toc491000289"/>
      <w:bookmarkStart w:id="186" w:name="_Toc525944209"/>
      <w:r w:rsidRPr="001D032A">
        <w:t>Zdroj: Ministerstvo zdravotnictví ČR</w:t>
      </w:r>
      <w:bookmarkEnd w:id="185"/>
      <w:bookmarkEnd w:id="186"/>
    </w:p>
    <w:p w:rsidR="00276CD0" w:rsidRPr="001D032A" w:rsidRDefault="00276CD0" w:rsidP="00276CD0"/>
    <w:p w:rsidR="003E1B90" w:rsidRPr="001D032A" w:rsidRDefault="003E1B90" w:rsidP="003E1B90">
      <w:pPr>
        <w:pStyle w:val="Nadpis3"/>
      </w:pPr>
      <w:bookmarkStart w:id="187" w:name="_Toc460456859"/>
      <w:bookmarkStart w:id="188" w:name="_Toc491000290"/>
      <w:bookmarkStart w:id="189" w:name="_Toc525944210"/>
      <w:r w:rsidRPr="001D032A">
        <w:t>Závěr</w:t>
      </w:r>
      <w:bookmarkEnd w:id="187"/>
      <w:bookmarkEnd w:id="188"/>
      <w:bookmarkEnd w:id="189"/>
    </w:p>
    <w:p w:rsidR="008D2F33" w:rsidRDefault="00D6318D" w:rsidP="008D2F33">
      <w:pPr>
        <w:jc w:val="both"/>
        <w:rPr>
          <w:sz w:val="24"/>
          <w:szCs w:val="24"/>
        </w:rPr>
      </w:pPr>
      <w:r w:rsidRPr="001D032A">
        <w:rPr>
          <w:sz w:val="24"/>
          <w:szCs w:val="24"/>
        </w:rPr>
        <w:t>Ministerstvo zdravotnictví ověřilo soulad plánovaných nákladů na jednotlivé segmenty s modelovaným dopadem úhradové vyhlášky na rok 2018. V případě ZPŠ lze konstatovat, že struktura nákladů dle segmentů umožňuje naplnění cílů úhradové vyhlášky pro rok 2018 v případě jejího dodržení. Na nákladové i příjmové straně existuje shoda mezi ZPP a modelacemi MZ. Saldo hospodaření v roce 2018 se tak očekává jako mírně přebytkové.</w:t>
      </w:r>
    </w:p>
    <w:p w:rsidR="008D2F33" w:rsidRDefault="008D2F33">
      <w:pPr>
        <w:rPr>
          <w:sz w:val="24"/>
          <w:szCs w:val="24"/>
        </w:rPr>
      </w:pPr>
      <w:r>
        <w:rPr>
          <w:sz w:val="24"/>
          <w:szCs w:val="24"/>
        </w:rPr>
        <w:br w:type="page"/>
      </w:r>
    </w:p>
    <w:p w:rsidR="003E1B90" w:rsidRPr="001D032A" w:rsidRDefault="005A1CC4" w:rsidP="00452EEE">
      <w:pPr>
        <w:pStyle w:val="Nadpis2"/>
      </w:pPr>
      <w:hyperlink r:id="rId28" w:history="1">
        <w:bookmarkStart w:id="190" w:name="_Toc460456860"/>
        <w:bookmarkStart w:id="191" w:name="_Toc525944506"/>
        <w:r w:rsidR="003E1B90" w:rsidRPr="001D032A">
          <w:rPr>
            <w:rStyle w:val="Hypertextovodkaz"/>
            <w:color w:val="7B230B" w:themeColor="accent1" w:themeShade="BF"/>
            <w:u w:val="none"/>
          </w:rPr>
          <w:t>Zdravotní pojišťovna ministerstva vnitra ČR</w:t>
        </w:r>
      </w:hyperlink>
      <w:r w:rsidR="003E1B90" w:rsidRPr="001D032A">
        <w:t xml:space="preserve"> (ZP MV ČR)</w:t>
      </w:r>
      <w:bookmarkEnd w:id="190"/>
      <w:bookmarkEnd w:id="191"/>
    </w:p>
    <w:p w:rsidR="003E1B90" w:rsidRPr="001D032A" w:rsidRDefault="003E1B90" w:rsidP="003E1B90">
      <w:pPr>
        <w:pStyle w:val="Nadpis3"/>
      </w:pPr>
      <w:bookmarkStart w:id="192" w:name="_Toc460456861"/>
      <w:bookmarkStart w:id="193" w:name="_Toc491000291"/>
      <w:bookmarkStart w:id="194" w:name="_Toc525944211"/>
      <w:r w:rsidRPr="001D032A">
        <w:t>Hodnocení ekonomické</w:t>
      </w:r>
      <w:bookmarkEnd w:id="192"/>
      <w:bookmarkEnd w:id="193"/>
      <w:bookmarkEnd w:id="194"/>
    </w:p>
    <w:p w:rsidR="00D6318D" w:rsidRPr="001D032A" w:rsidRDefault="00D6318D" w:rsidP="00D6318D">
      <w:pPr>
        <w:jc w:val="both"/>
        <w:rPr>
          <w:sz w:val="24"/>
          <w:szCs w:val="24"/>
        </w:rPr>
      </w:pPr>
      <w:bookmarkStart w:id="195" w:name="_Toc460455319"/>
      <w:r w:rsidRPr="001D032A">
        <w:rPr>
          <w:sz w:val="24"/>
          <w:szCs w:val="24"/>
        </w:rPr>
        <w:t>Pojišťovna po několika letech deficitního hospodaření očekává, že bude hospodařit s přebytkem v roce 2017 i v roce následujícím. Kladné saldo se v roce 2018 mírně sníží na 198</w:t>
      </w:r>
      <w:r w:rsidR="006F3809">
        <w:rPr>
          <w:sz w:val="24"/>
          <w:szCs w:val="24"/>
        </w:rPr>
        <w:t> </w:t>
      </w:r>
      <w:r w:rsidRPr="001D032A">
        <w:rPr>
          <w:sz w:val="24"/>
          <w:szCs w:val="24"/>
        </w:rPr>
        <w:t>mil. Kč, což je způsobeno nepatrně vyšším růstem celkových výdajů než celkových příjmů o 0,3 p.b. s dominantním vlivem růstu výdajů na zdravotní služby (meziročně o 6,7 %).</w:t>
      </w:r>
    </w:p>
    <w:p w:rsidR="00D6318D" w:rsidRPr="001D032A" w:rsidRDefault="00D6318D" w:rsidP="00D6318D">
      <w:pPr>
        <w:jc w:val="both"/>
        <w:rPr>
          <w:sz w:val="24"/>
          <w:szCs w:val="24"/>
        </w:rPr>
      </w:pPr>
      <w:r w:rsidRPr="001D032A">
        <w:rPr>
          <w:sz w:val="24"/>
          <w:szCs w:val="24"/>
        </w:rPr>
        <w:t xml:space="preserve">Zmíněné kladné saldo nebude generovat takové navýšení zůstatků na účtech pojišťovny, aby se navyšoval jejich poměr k celkovým výdajům pojišťovny. Tento poměr se stabilizuje na úrovni 11 %, což v přepočtu na ekvivalent denních výdajů na zdravotní služby znamená 41 dnů. Přitom v roce 2013 zmíněný ukazatel dosahoval 67 dnů. </w:t>
      </w:r>
    </w:p>
    <w:p w:rsidR="00D6318D" w:rsidRPr="001D032A" w:rsidRDefault="00D6318D" w:rsidP="00D6318D">
      <w:pPr>
        <w:jc w:val="both"/>
        <w:rPr>
          <w:sz w:val="24"/>
          <w:szCs w:val="24"/>
        </w:rPr>
      </w:pPr>
      <w:r w:rsidRPr="001D032A">
        <w:rPr>
          <w:sz w:val="24"/>
          <w:szCs w:val="24"/>
        </w:rPr>
        <w:t xml:space="preserve">Ukazatel rozdílu příjmu a nákladů ZFZP, který zobrazuje, jak současné příjmy pokryjí budoucí úhrady zdravotních služeb a jiné náklady placené ze ZFZP, taktéž dosahuje kladných hodnot. V roce 2017 bude činit tento přebytek 256 mil. Kč, o rok později 53 mil. Kč. ZP MV ČR predikuje nižší růst objemu mezd a platů, a tím i výběru pojistného oproti ministerské Makroekonomické predikci ČR (o 0,6 p.b.). Zdůvodňuje to nadprůměrným podílem státních zaměstnanců v kmeni pojišťovny, kterým rostly tarifní platy již od 1. listopadu 2017. To zvyšuje výchozí základnu pro kalkulaci meziročního růstu. </w:t>
      </w:r>
    </w:p>
    <w:p w:rsidR="00D6318D" w:rsidRPr="001D032A" w:rsidRDefault="00D6318D" w:rsidP="00D6318D">
      <w:pPr>
        <w:jc w:val="both"/>
        <w:rPr>
          <w:sz w:val="24"/>
          <w:szCs w:val="24"/>
        </w:rPr>
      </w:pPr>
      <w:r w:rsidRPr="001D032A">
        <w:rPr>
          <w:sz w:val="24"/>
          <w:szCs w:val="24"/>
        </w:rPr>
        <w:t>Ani v roce 2018 ZP MV ČR nehodlá využít celý limit převodu prostředků na vlastní činnost a převede si cca o 104 mil. Kč méně. Výdaje na vlastní činnost mají přesáhnout jednu miliardu korun, což znamená meziroční růst o 18,5 %. Na tomto nárůstu se výrazně podílí plánované zvýšení prostředků na investiční akce o 170,8 % na 121 mil. Kč. Z toho by mělo nejvíce směřovat do oblasti výpočetní techniky, software a jiného nehmotného majetku (70 mil. Kč), dále do obnovy vozového parku (18 mil. Kč) a rekonstrukce a modernizace budov (18 mil. Kč). Zde jde především o modernizaci objektu pobočky v Brně. Nárůst v oblasti ICT je vysvětlován nedočerpáním plánu v roce 2017, zejména z důvodu časové náročnosti výběrových řízení. Dojde proto k přesunu těchto investic do roku 2018.</w:t>
      </w:r>
    </w:p>
    <w:p w:rsidR="00D6318D" w:rsidRPr="001D032A" w:rsidRDefault="00D6318D" w:rsidP="00D6318D">
      <w:pPr>
        <w:jc w:val="both"/>
        <w:rPr>
          <w:sz w:val="24"/>
          <w:szCs w:val="24"/>
        </w:rPr>
      </w:pPr>
      <w:r w:rsidRPr="001D032A">
        <w:rPr>
          <w:sz w:val="24"/>
          <w:szCs w:val="24"/>
        </w:rPr>
        <w:t>ZP MV ČR plánuje také zvýšení provozních výdajů. Zde, jako ve všech zdravotních pojišťovnách, představují největší položku výdaje na mzdy, které meziročně porostou o 9,4 % na 367 mil</w:t>
      </w:r>
      <w:r w:rsidR="00190F79">
        <w:rPr>
          <w:sz w:val="24"/>
          <w:szCs w:val="24"/>
        </w:rPr>
        <w:t>.</w:t>
      </w:r>
      <w:r w:rsidRPr="001D032A">
        <w:rPr>
          <w:sz w:val="24"/>
          <w:szCs w:val="24"/>
        </w:rPr>
        <w:t xml:space="preserve"> Kč bez příslušenství. Na tomto růstu se podílí fakt, že přepočtený průměrný počet zaměstnanců vzroste o 4 % na 644. Vzhledem k pouze nepatrnému plánovanému zvýšení počtu pojištěnců o 0,3 % se sníží poměr počtu pojištěnců na jednoho zaměstnance na hodnotu 2 029. V tomto ukazateli však ZP MV ČR bude nadále držet prvenství ze všech zdravotních pojišťoven. Ostatní provozní výdaje stoupnou o 10,3 % na 311 mil. Kč. Pojišťovna to zdůvodňuje vyššími nároky na zajištění bezpečnosti provozu a nutností úprav informačního systému.</w:t>
      </w:r>
    </w:p>
    <w:p w:rsidR="00D6318D" w:rsidRPr="001D032A" w:rsidRDefault="00D6318D" w:rsidP="00D6318D">
      <w:pPr>
        <w:jc w:val="both"/>
        <w:rPr>
          <w:sz w:val="24"/>
          <w:szCs w:val="24"/>
        </w:rPr>
      </w:pPr>
      <w:r w:rsidRPr="001D032A">
        <w:rPr>
          <w:sz w:val="24"/>
          <w:szCs w:val="24"/>
        </w:rPr>
        <w:t>Do provozních výdajů, zejména položky ostatních osobních nákladů, se může promítnout organizační změna k 1. 1. 2018. Ta spočívá ve vytvoření dvou divizí (Čechy a Morava) se sídlem v Praze a Brně. Generálnímu řediteli tak budou přímo podléhat pouze dva vedoucí zaměstnanci územních útvarů namísto dosavadních pěti. Pojišťovna si od této změny slibuje sjednocení procesů a zefektivnění poskytovaných služeb.</w:t>
      </w:r>
    </w:p>
    <w:p w:rsidR="003E1B90" w:rsidRPr="001D032A" w:rsidRDefault="003E1B90" w:rsidP="00D6318D">
      <w:pPr>
        <w:pStyle w:val="Nadpis3"/>
      </w:pPr>
      <w:bookmarkStart w:id="196" w:name="_Toc525944212"/>
      <w:r w:rsidRPr="001D032A">
        <w:lastRenderedPageBreak/>
        <w:t>Graf 8: Příjmy a výdaje ZP MV ČR</w:t>
      </w:r>
      <w:bookmarkEnd w:id="195"/>
      <w:r w:rsidR="00D6318D" w:rsidRPr="001D032A">
        <w:t xml:space="preserve"> v milionech Kč</w:t>
      </w:r>
      <w:bookmarkEnd w:id="196"/>
    </w:p>
    <w:p w:rsidR="00DB4BBC" w:rsidRPr="001D032A" w:rsidRDefault="00D6318D" w:rsidP="00DB4BBC">
      <w:r w:rsidRPr="001D032A">
        <w:rPr>
          <w:noProof/>
          <w:lang w:eastAsia="cs-CZ"/>
        </w:rPr>
        <w:drawing>
          <wp:inline distT="0" distB="0" distL="0" distR="0" wp14:anchorId="06AE2C4D" wp14:editId="62E647AF">
            <wp:extent cx="5730240" cy="2743200"/>
            <wp:effectExtent l="0" t="0" r="3810" b="0"/>
            <wp:docPr id="13" name="Graf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370380-28B0-4F49-832B-7B62FF1B0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6318D" w:rsidRPr="001D032A" w:rsidRDefault="00D6318D" w:rsidP="00D6318D">
      <w:pPr>
        <w:pStyle w:val="Bezmezer"/>
        <w:rPr>
          <w:sz w:val="20"/>
          <w:szCs w:val="20"/>
        </w:rPr>
      </w:pPr>
      <w:r w:rsidRPr="001D032A">
        <w:rPr>
          <w:sz w:val="20"/>
          <w:szCs w:val="20"/>
        </w:rPr>
        <w:t>* očekávaná skutečnost</w:t>
      </w:r>
    </w:p>
    <w:p w:rsidR="00D6318D" w:rsidRPr="001D032A" w:rsidRDefault="00D6318D" w:rsidP="00D6318D">
      <w:pPr>
        <w:pStyle w:val="Bezmezer"/>
        <w:rPr>
          <w:sz w:val="20"/>
          <w:szCs w:val="20"/>
        </w:rPr>
      </w:pPr>
      <w:r w:rsidRPr="001D032A">
        <w:rPr>
          <w:sz w:val="20"/>
          <w:szCs w:val="20"/>
        </w:rPr>
        <w:t xml:space="preserve">** převzato ze zdravotních pojistných plánů </w:t>
      </w:r>
    </w:p>
    <w:p w:rsidR="003E1B90" w:rsidRPr="001D032A" w:rsidRDefault="003E1B90" w:rsidP="00DB4BBC">
      <w:pPr>
        <w:pStyle w:val="Nadpis3"/>
        <w:jc w:val="center"/>
      </w:pPr>
      <w:bookmarkStart w:id="197" w:name="_Toc491000293"/>
      <w:bookmarkStart w:id="198" w:name="_Toc525944213"/>
      <w:r w:rsidRPr="001D032A">
        <w:t>Zdroj: Ministerstvo zdravotnictví ČR</w:t>
      </w:r>
      <w:bookmarkEnd w:id="197"/>
      <w:bookmarkEnd w:id="198"/>
    </w:p>
    <w:p w:rsidR="00DB4BBC" w:rsidRPr="001D032A" w:rsidRDefault="00DB4BBC" w:rsidP="00DB4BBC"/>
    <w:p w:rsidR="003E1B90" w:rsidRPr="001D032A" w:rsidRDefault="003E1B90" w:rsidP="003E1B90">
      <w:pPr>
        <w:pStyle w:val="Nadpis3"/>
      </w:pPr>
      <w:bookmarkStart w:id="199" w:name="_Toc460456862"/>
      <w:bookmarkStart w:id="200" w:name="_Toc491000294"/>
      <w:bookmarkStart w:id="201" w:name="_Toc525944214"/>
      <w:r w:rsidRPr="001D032A">
        <w:t>Hodnocení zdravotní</w:t>
      </w:r>
      <w:bookmarkEnd w:id="199"/>
      <w:bookmarkEnd w:id="200"/>
      <w:bookmarkEnd w:id="201"/>
      <w:r w:rsidRPr="001D032A">
        <w:t xml:space="preserve"> </w:t>
      </w:r>
    </w:p>
    <w:p w:rsidR="00D6318D" w:rsidRPr="001D032A" w:rsidRDefault="00D6318D" w:rsidP="00D6318D">
      <w:pPr>
        <w:jc w:val="both"/>
        <w:rPr>
          <w:rFonts w:cs="Arial"/>
          <w:sz w:val="24"/>
          <w:szCs w:val="24"/>
        </w:rPr>
      </w:pPr>
      <w:bookmarkStart w:id="202" w:name="_Toc460455320"/>
      <w:r w:rsidRPr="001D032A">
        <w:rPr>
          <w:sz w:val="24"/>
          <w:szCs w:val="24"/>
        </w:rPr>
        <w:t>ZP MV ČR uvádí, že cílem její smluvní politiky je zajistit pro pojištěnce optimální časovou a místní dostupnost zdravotních slu</w:t>
      </w:r>
      <w:r w:rsidRPr="001D032A">
        <w:rPr>
          <w:rStyle w:val="TEXTChar"/>
          <w:lang w:val="cs-CZ"/>
        </w:rPr>
        <w:t>ž</w:t>
      </w:r>
      <w:r w:rsidRPr="001D032A">
        <w:rPr>
          <w:sz w:val="24"/>
          <w:szCs w:val="24"/>
        </w:rPr>
        <w:t xml:space="preserve">eb ve všech odbornostech a regionech působnosti s důrazem na kvalitu a efektivitu těchto služeb a na podporu co nejširší sítě poskytovatelů primární péče. ZP MV ČR bude uzavírat nové smlouvy s PZS zejména v případech nedostatečného </w:t>
      </w:r>
      <w:r w:rsidRPr="001D032A">
        <w:rPr>
          <w:rFonts w:cs="Arial"/>
          <w:sz w:val="24"/>
          <w:szCs w:val="24"/>
        </w:rPr>
        <w:t>zajištění danými zdravotními službami či významnějšího nárůstu počtu pojištěnců v konkrétním regionu, dále v případech generační obměny PZS, změny právní subjektivity PZS či dlouhé objednací doby stávajících smluvních PZS.</w:t>
      </w:r>
    </w:p>
    <w:p w:rsidR="008D2F33" w:rsidRDefault="00D6318D" w:rsidP="00D6318D">
      <w:pPr>
        <w:jc w:val="both"/>
        <w:rPr>
          <w:rFonts w:cs="Arial"/>
          <w:sz w:val="24"/>
          <w:szCs w:val="24"/>
        </w:rPr>
      </w:pPr>
      <w:r w:rsidRPr="001D032A">
        <w:rPr>
          <w:sz w:val="24"/>
          <w:szCs w:val="24"/>
        </w:rPr>
        <w:t xml:space="preserve">Pojišťovna </w:t>
      </w:r>
      <w:r w:rsidRPr="001D032A">
        <w:rPr>
          <w:rFonts w:cs="Arial"/>
          <w:sz w:val="24"/>
          <w:szCs w:val="24"/>
        </w:rPr>
        <w:t>nepředpokládá žádné zásadní změny</w:t>
      </w:r>
      <w:r w:rsidRPr="001D032A">
        <w:rPr>
          <w:sz w:val="24"/>
          <w:szCs w:val="24"/>
        </w:rPr>
        <w:t xml:space="preserve"> v síti smluvních PZS. U ambulantních PZS dle specializací lze předpokládat </w:t>
      </w:r>
      <w:r w:rsidRPr="001D032A">
        <w:rPr>
          <w:rFonts w:cs="Arial"/>
          <w:sz w:val="24"/>
          <w:szCs w:val="24"/>
        </w:rPr>
        <w:t>pokles počtu ambulantních PZS v souvislosti se zavedením povinnosti elektronické preskripce</w:t>
      </w:r>
      <w:r w:rsidRPr="001D032A">
        <w:rPr>
          <w:sz w:val="24"/>
          <w:szCs w:val="24"/>
        </w:rPr>
        <w:t xml:space="preserve">. </w:t>
      </w:r>
      <w:r w:rsidRPr="001D032A">
        <w:rPr>
          <w:rFonts w:cs="Arial"/>
          <w:sz w:val="24"/>
          <w:szCs w:val="24"/>
        </w:rPr>
        <w:t>Klesající trend počtu smluvních PZS lze nadále očekávat také u poskytovatelů lékárenské péče.</w:t>
      </w:r>
    </w:p>
    <w:p w:rsidR="008D2F33" w:rsidRDefault="008D2F33">
      <w:pPr>
        <w:rPr>
          <w:rFonts w:cs="Arial"/>
          <w:sz w:val="24"/>
          <w:szCs w:val="24"/>
        </w:rPr>
      </w:pPr>
      <w:r>
        <w:rPr>
          <w:rFonts w:cs="Arial"/>
          <w:sz w:val="24"/>
          <w:szCs w:val="24"/>
        </w:rPr>
        <w:br w:type="page"/>
      </w:r>
    </w:p>
    <w:p w:rsidR="003E1B90" w:rsidRPr="001D032A" w:rsidRDefault="003E1B90" w:rsidP="00DB4BBC">
      <w:pPr>
        <w:pStyle w:val="Nadpis3"/>
      </w:pPr>
      <w:bookmarkStart w:id="203" w:name="_Toc525944215"/>
      <w:r w:rsidRPr="001D032A">
        <w:lastRenderedPageBreak/>
        <w:t>Tabulka 19: Soustava smluvních poskytovatelů zdravotních služeb</w:t>
      </w:r>
      <w:bookmarkEnd w:id="202"/>
      <w:bookmarkEnd w:id="203"/>
    </w:p>
    <w:tbl>
      <w:tblPr>
        <w:tblStyle w:val="Tabulkasmkou4zvraznn1"/>
        <w:tblW w:w="9062" w:type="dxa"/>
        <w:tblLayout w:type="fixed"/>
        <w:tblLook w:val="04A0" w:firstRow="1" w:lastRow="0" w:firstColumn="1" w:lastColumn="0" w:noHBand="0" w:noVBand="1"/>
      </w:tblPr>
      <w:tblGrid>
        <w:gridCol w:w="2325"/>
        <w:gridCol w:w="963"/>
        <w:gridCol w:w="962"/>
        <w:gridCol w:w="962"/>
        <w:gridCol w:w="963"/>
        <w:gridCol w:w="963"/>
        <w:gridCol w:w="962"/>
        <w:gridCol w:w="962"/>
      </w:tblGrid>
      <w:tr w:rsidR="00DB4BBC" w:rsidRPr="001D032A" w:rsidTr="00DB4BBC">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B4BBC" w:rsidRPr="001D032A" w:rsidRDefault="00DB4BBC" w:rsidP="003E1B90">
            <w:pPr>
              <w:jc w:val="center"/>
              <w:rPr>
                <w:rFonts w:ascii="Calibri" w:hAnsi="Calibri"/>
                <w:bCs w:val="0"/>
                <w:color w:val="FFFFFF"/>
              </w:rPr>
            </w:pPr>
            <w:r w:rsidRPr="001D032A">
              <w:rPr>
                <w:rFonts w:ascii="Calibri" w:hAnsi="Calibri"/>
                <w:bCs w:val="0"/>
                <w:color w:val="FFFFFF"/>
              </w:rPr>
              <w:t>Kategorie</w:t>
            </w:r>
          </w:p>
          <w:p w:rsidR="00DB4BBC" w:rsidRPr="001D032A" w:rsidRDefault="00DB4BBC" w:rsidP="003E1B90">
            <w:pPr>
              <w:jc w:val="center"/>
              <w:rPr>
                <w:rFonts w:ascii="Calibri" w:hAnsi="Calibri"/>
                <w:bCs w:val="0"/>
                <w:color w:val="FFFFFF"/>
              </w:rPr>
            </w:pPr>
            <w:r w:rsidRPr="001D032A">
              <w:rPr>
                <w:rFonts w:ascii="Calibri" w:hAnsi="Calibri"/>
                <w:bCs w:val="0"/>
                <w:color w:val="FFFFFF"/>
              </w:rPr>
              <w:t>smluvních PZS</w:t>
            </w:r>
          </w:p>
        </w:tc>
        <w:tc>
          <w:tcPr>
            <w:tcW w:w="963"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2</w:t>
            </w:r>
          </w:p>
        </w:tc>
        <w:tc>
          <w:tcPr>
            <w:tcW w:w="962"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3</w:t>
            </w:r>
          </w:p>
        </w:tc>
        <w:tc>
          <w:tcPr>
            <w:tcW w:w="962"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4</w:t>
            </w:r>
          </w:p>
        </w:tc>
        <w:tc>
          <w:tcPr>
            <w:tcW w:w="963"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5</w:t>
            </w:r>
          </w:p>
        </w:tc>
        <w:tc>
          <w:tcPr>
            <w:tcW w:w="963"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6</w:t>
            </w:r>
          </w:p>
        </w:tc>
        <w:tc>
          <w:tcPr>
            <w:tcW w:w="962"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7</w:t>
            </w:r>
            <w:r w:rsidRPr="001D032A">
              <w:rPr>
                <w:rFonts w:ascii="Calibri" w:hAnsi="Calibri"/>
                <w:bCs w:val="0"/>
                <w:color w:val="FFFFFF"/>
              </w:rPr>
              <w:t>*</w:t>
            </w:r>
          </w:p>
        </w:tc>
        <w:tc>
          <w:tcPr>
            <w:tcW w:w="962" w:type="dxa"/>
            <w:vAlign w:val="center"/>
          </w:tcPr>
          <w:p w:rsidR="00DB4BBC" w:rsidRPr="001D032A" w:rsidRDefault="00DB4BBC"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D6318D" w:rsidRPr="001D032A">
              <w:rPr>
                <w:rFonts w:ascii="Calibri" w:hAnsi="Calibri"/>
                <w:bCs w:val="0"/>
                <w:color w:val="FFFFFF"/>
              </w:rPr>
              <w:t>8</w:t>
            </w:r>
            <w:r w:rsidRPr="001D032A">
              <w:rPr>
                <w:rFonts w:ascii="Calibri" w:hAnsi="Calibri"/>
                <w:bCs w:val="0"/>
                <w:color w:val="FFFFFF"/>
              </w:rPr>
              <w:t>**</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Ambulantní poskytovatelé</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22 480</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22 493</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22 408</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22 401</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22 243</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22 005</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21 868</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 xml:space="preserve">Praktický lékař pro dospělé </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4 570</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4 588</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4 586</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4 601</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4 575</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4 480</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4 430</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 xml:space="preserve">Praktický lékař pro děti a dorost </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2 040</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2 026</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1 995</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1 974</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1 950</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1 860</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1 830</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Praktický zubní lékař</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5 764</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5 770</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5 720</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5 755</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5 720</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5 700</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5 660</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 xml:space="preserve">Ostatní ambulantní poskytovatelé </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10 106</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10 109</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10 107</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10 071</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9 998</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9 965</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9 948</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 xml:space="preserve">Lůžkoví poskytovatelé </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sz w:val="21"/>
                <w:szCs w:val="21"/>
              </w:rPr>
            </w:pPr>
            <w:r w:rsidRPr="001D032A">
              <w:rPr>
                <w:sz w:val="21"/>
                <w:szCs w:val="21"/>
              </w:rPr>
              <w:t>285</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289</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289</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283</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1D032A">
              <w:rPr>
                <w:rFonts w:cs="Arial"/>
                <w:sz w:val="21"/>
                <w:szCs w:val="21"/>
              </w:rPr>
              <w:t>281</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283</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283</w:t>
            </w:r>
          </w:p>
        </w:tc>
      </w:tr>
      <w:tr w:rsidR="00D6318D" w:rsidRPr="001D032A" w:rsidTr="00D631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 xml:space="preserve">Ostatní poskytovatelé </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sz w:val="21"/>
                <w:szCs w:val="21"/>
              </w:rPr>
            </w:pPr>
            <w:r w:rsidRPr="001D032A">
              <w:rPr>
                <w:sz w:val="21"/>
                <w:szCs w:val="21"/>
              </w:rPr>
              <w:t>3 150</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3 364</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3 128</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3 405</w:t>
            </w:r>
          </w:p>
        </w:tc>
        <w:tc>
          <w:tcPr>
            <w:tcW w:w="963"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1D032A">
              <w:rPr>
                <w:rFonts w:cs="Arial"/>
                <w:sz w:val="21"/>
                <w:szCs w:val="21"/>
              </w:rPr>
              <w:t>3 379</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3 287</w:t>
            </w:r>
          </w:p>
        </w:tc>
        <w:tc>
          <w:tcPr>
            <w:tcW w:w="962" w:type="dxa"/>
            <w:vAlign w:val="center"/>
          </w:tcPr>
          <w:p w:rsidR="00D6318D" w:rsidRPr="001D032A" w:rsidRDefault="00D6318D" w:rsidP="00D6318D">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3 239</w:t>
            </w:r>
          </w:p>
        </w:tc>
      </w:tr>
      <w:tr w:rsidR="00D6318D" w:rsidRPr="001D032A" w:rsidTr="00D6318D">
        <w:trPr>
          <w:trHeight w:val="586"/>
        </w:trPr>
        <w:tc>
          <w:tcPr>
            <w:cnfStyle w:val="001000000000" w:firstRow="0" w:lastRow="0" w:firstColumn="1" w:lastColumn="0" w:oddVBand="0" w:evenVBand="0" w:oddHBand="0" w:evenHBand="0" w:firstRowFirstColumn="0" w:firstRowLastColumn="0" w:lastRowFirstColumn="0" w:lastRowLastColumn="0"/>
            <w:tcW w:w="2325" w:type="dxa"/>
            <w:vAlign w:val="center"/>
          </w:tcPr>
          <w:p w:rsidR="00D6318D" w:rsidRPr="001D032A" w:rsidRDefault="00D6318D" w:rsidP="00D6318D">
            <w:pPr>
              <w:rPr>
                <w:b w:val="0"/>
                <w:bCs w:val="0"/>
                <w:sz w:val="20"/>
                <w:szCs w:val="20"/>
              </w:rPr>
            </w:pPr>
            <w:r w:rsidRPr="001D032A">
              <w:rPr>
                <w:b w:val="0"/>
                <w:bCs w:val="0"/>
                <w:sz w:val="20"/>
                <w:szCs w:val="20"/>
              </w:rPr>
              <w:t>Celkem</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1D032A">
              <w:rPr>
                <w:rFonts w:cs="Arial"/>
                <w:b/>
                <w:bCs/>
                <w:sz w:val="21"/>
                <w:szCs w:val="21"/>
              </w:rPr>
              <w:t>25 915</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1D032A">
              <w:rPr>
                <w:rFonts w:cs="Arial"/>
                <w:b/>
                <w:bCs/>
                <w:sz w:val="21"/>
                <w:szCs w:val="21"/>
              </w:rPr>
              <w:t>26 146</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25 825</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26 089</w:t>
            </w:r>
          </w:p>
        </w:tc>
        <w:tc>
          <w:tcPr>
            <w:tcW w:w="963"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25 903</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25 575</w:t>
            </w:r>
          </w:p>
        </w:tc>
        <w:tc>
          <w:tcPr>
            <w:tcW w:w="962" w:type="dxa"/>
            <w:vAlign w:val="center"/>
          </w:tcPr>
          <w:p w:rsidR="00D6318D" w:rsidRPr="001D032A" w:rsidRDefault="00D6318D" w:rsidP="00D6318D">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25 390</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DB4BBC">
      <w:pPr>
        <w:pStyle w:val="Nadpis3"/>
        <w:jc w:val="center"/>
      </w:pPr>
      <w:bookmarkStart w:id="204" w:name="_Toc491000296"/>
      <w:bookmarkStart w:id="205" w:name="_Toc525944216"/>
      <w:r w:rsidRPr="001D032A">
        <w:t>Zdroj: Ministerstvo zdravotnictví ČR</w:t>
      </w:r>
      <w:bookmarkEnd w:id="204"/>
      <w:bookmarkEnd w:id="205"/>
    </w:p>
    <w:p w:rsidR="00DB4BBC" w:rsidRPr="001D032A" w:rsidRDefault="00DB4BBC" w:rsidP="00DB4BBC"/>
    <w:p w:rsidR="00D6318D" w:rsidRPr="001D032A" w:rsidRDefault="00D6318D" w:rsidP="00616DA5">
      <w:pPr>
        <w:jc w:val="both"/>
        <w:rPr>
          <w:sz w:val="24"/>
          <w:szCs w:val="24"/>
        </w:rPr>
      </w:pPr>
      <w:r w:rsidRPr="001D032A">
        <w:rPr>
          <w:sz w:val="24"/>
          <w:szCs w:val="24"/>
        </w:rPr>
        <w:t>Celkové náklady na zdravotní služby čerpané ze ZFZP v roce 2018 plánuje ZP MV ČR ve výši 32 990 mil. Kč, což představuje meziroční nárůst o 6,5 % oproti očekávané skutečnosti roku 2017. V roce 2018 bude pokračovat rostoucí trend z minulých let. Průměrné náklady na zdravotní služby na 1 pojištěnce jsou plánovány ve výši 25 244 Kč, což znamená meziroční nárůst o 6,2 % oproti očekávané skutečnosti roku 2017.</w:t>
      </w:r>
    </w:p>
    <w:p w:rsidR="00D6318D" w:rsidRPr="001D032A" w:rsidRDefault="00D6318D" w:rsidP="00616DA5">
      <w:pPr>
        <w:jc w:val="both"/>
        <w:rPr>
          <w:sz w:val="24"/>
          <w:szCs w:val="24"/>
        </w:rPr>
      </w:pPr>
      <w:r w:rsidRPr="001D032A">
        <w:rPr>
          <w:sz w:val="24"/>
          <w:szCs w:val="24"/>
        </w:rPr>
        <w:t>Meziroční nárůst nákladů je očekáván ve všech segmentech zdravotní péče. U ambulantní péče ZP MV ČR plánuje navýšení celkem o 2,9 %. V objemově největším segmentu lůžkové zdravotní péče je předpokládán nárůst nákladů o 9,8 %, což má výrazný vliv na růst celkových nákladů. Oba segmenty budou i nadále vykazovat rostoucí trend. Po přepočtu na 1 pojištěnce se předpokládá 2,6% nárůst nákladů na ambulantní péči, náklady na lůžkovou péči pak meziročně vzrostou o 9,5 %. Celkové náklady i náklady v jednotlivých segmentech v přepočtu na 1 pojištěnce vykazují dlouhodobě rostoucí trend.</w:t>
      </w:r>
    </w:p>
    <w:p w:rsidR="008D2F33" w:rsidRDefault="008D2F33">
      <w:pPr>
        <w:rPr>
          <w:rFonts w:asciiTheme="majorHAnsi" w:eastAsiaTheme="majorEastAsia" w:hAnsiTheme="majorHAnsi" w:cstheme="majorBidi"/>
          <w:color w:val="511707" w:themeColor="accent1" w:themeShade="7F"/>
          <w:sz w:val="24"/>
          <w:szCs w:val="24"/>
        </w:rPr>
      </w:pPr>
      <w:bookmarkStart w:id="206" w:name="_Toc460455321"/>
      <w:r>
        <w:br w:type="page"/>
      </w:r>
    </w:p>
    <w:p w:rsidR="003E1B90" w:rsidRPr="001D032A" w:rsidRDefault="003E1B90" w:rsidP="00C241C7">
      <w:pPr>
        <w:pStyle w:val="Nadpis3"/>
      </w:pPr>
      <w:bookmarkStart w:id="207" w:name="_Toc525944217"/>
      <w:r w:rsidRPr="001D032A">
        <w:lastRenderedPageBreak/>
        <w:t>Tabulka 20: Struktura nákladů na zdravotní služby podle jednotlivých segmentů</w:t>
      </w:r>
      <w:bookmarkEnd w:id="206"/>
      <w:bookmarkEnd w:id="207"/>
    </w:p>
    <w:tbl>
      <w:tblPr>
        <w:tblStyle w:val="Tabulkasmkou4zvraznn1"/>
        <w:tblW w:w="9062" w:type="dxa"/>
        <w:tblLayout w:type="fixed"/>
        <w:tblLook w:val="04A0" w:firstRow="1" w:lastRow="0" w:firstColumn="1" w:lastColumn="0" w:noHBand="0" w:noVBand="1"/>
      </w:tblPr>
      <w:tblGrid>
        <w:gridCol w:w="1671"/>
        <w:gridCol w:w="1055"/>
        <w:gridCol w:w="1056"/>
        <w:gridCol w:w="1056"/>
        <w:gridCol w:w="1056"/>
        <w:gridCol w:w="1056"/>
        <w:gridCol w:w="1056"/>
        <w:gridCol w:w="1056"/>
      </w:tblGrid>
      <w:tr w:rsidR="00C241C7" w:rsidRPr="001D032A" w:rsidTr="00C241C7">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C241C7" w:rsidRPr="001D032A" w:rsidRDefault="00C241C7" w:rsidP="003E1B90">
            <w:pPr>
              <w:jc w:val="center"/>
              <w:rPr>
                <w:bCs w:val="0"/>
                <w:color w:val="FFFFFF"/>
              </w:rPr>
            </w:pPr>
            <w:r w:rsidRPr="001D032A">
              <w:rPr>
                <w:bCs w:val="0"/>
                <w:color w:val="FFFFFF"/>
              </w:rPr>
              <w:t>Ukazatel</w:t>
            </w:r>
          </w:p>
          <w:p w:rsidR="00C241C7" w:rsidRPr="001D032A" w:rsidRDefault="00C241C7" w:rsidP="003E1B90">
            <w:pPr>
              <w:jc w:val="center"/>
              <w:rPr>
                <w:bCs w:val="0"/>
                <w:color w:val="FFFFFF"/>
              </w:rPr>
            </w:pPr>
            <w:r w:rsidRPr="001D032A">
              <w:rPr>
                <w:bCs w:val="0"/>
                <w:color w:val="FFFFFF"/>
              </w:rPr>
              <w:t>(v mil. Kč)</w:t>
            </w:r>
          </w:p>
        </w:tc>
        <w:tc>
          <w:tcPr>
            <w:tcW w:w="1055"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2</w:t>
            </w:r>
          </w:p>
        </w:tc>
        <w:tc>
          <w:tcPr>
            <w:tcW w:w="1056"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3</w:t>
            </w:r>
          </w:p>
        </w:tc>
        <w:tc>
          <w:tcPr>
            <w:tcW w:w="1056"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4</w:t>
            </w:r>
          </w:p>
        </w:tc>
        <w:tc>
          <w:tcPr>
            <w:tcW w:w="1056"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5</w:t>
            </w:r>
          </w:p>
        </w:tc>
        <w:tc>
          <w:tcPr>
            <w:tcW w:w="1056"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6</w:t>
            </w:r>
          </w:p>
        </w:tc>
        <w:tc>
          <w:tcPr>
            <w:tcW w:w="1056"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7</w:t>
            </w:r>
            <w:r w:rsidRPr="001D032A">
              <w:rPr>
                <w:bCs w:val="0"/>
                <w:color w:val="FFFFFF"/>
              </w:rPr>
              <w:t>*</w:t>
            </w:r>
          </w:p>
        </w:tc>
        <w:tc>
          <w:tcPr>
            <w:tcW w:w="1056"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bCs w:val="0"/>
                <w:color w:val="FFFFFF"/>
              </w:rPr>
            </w:pPr>
            <w:r w:rsidRPr="001D032A">
              <w:rPr>
                <w:bCs w:val="0"/>
                <w:color w:val="FFFFFF"/>
              </w:rPr>
              <w:t>201</w:t>
            </w:r>
            <w:r w:rsidR="00616DA5" w:rsidRPr="001D032A">
              <w:rPr>
                <w:bCs w:val="0"/>
                <w:color w:val="FFFFFF"/>
              </w:rPr>
              <w:t>8</w:t>
            </w:r>
            <w:r w:rsidRPr="001D032A">
              <w:rPr>
                <w:bCs w:val="0"/>
                <w:color w:val="FFFFFF"/>
              </w:rPr>
              <w:t>**</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Náklady na ambulantní péči</w:t>
            </w:r>
          </w:p>
        </w:tc>
        <w:tc>
          <w:tcPr>
            <w:tcW w:w="1055"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6 716</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7 020</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7 582</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8 023</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8 761</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9 096</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9 357</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Náklady na lůžkovou péči</w:t>
            </w:r>
          </w:p>
        </w:tc>
        <w:tc>
          <w:tcPr>
            <w:tcW w:w="1055"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10 418</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11 301</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13 014</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13 827</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14 722</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15 656</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17 197</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Ostatní náklady</w:t>
            </w:r>
          </w:p>
        </w:tc>
        <w:tc>
          <w:tcPr>
            <w:tcW w:w="1055"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5 398</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5 200</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5 523</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5 767</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6 059</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6 228</w:t>
            </w:r>
          </w:p>
        </w:tc>
        <w:tc>
          <w:tcPr>
            <w:tcW w:w="105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6 436</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1671"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Celkové náklady</w:t>
            </w:r>
          </w:p>
        </w:tc>
        <w:tc>
          <w:tcPr>
            <w:tcW w:w="1055"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22 532</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23 521</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26 119</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27 617</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29 542</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30 980</w:t>
            </w:r>
          </w:p>
        </w:tc>
        <w:tc>
          <w:tcPr>
            <w:tcW w:w="105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32 990</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C241C7">
      <w:pPr>
        <w:pStyle w:val="Nadpis3"/>
        <w:jc w:val="center"/>
      </w:pPr>
      <w:bookmarkStart w:id="208" w:name="_Toc491000298"/>
      <w:bookmarkStart w:id="209" w:name="_Toc525944218"/>
      <w:r w:rsidRPr="001D032A">
        <w:t>Zdroj: Ministerstvo zdravotnictví ČR</w:t>
      </w:r>
      <w:bookmarkEnd w:id="208"/>
      <w:bookmarkEnd w:id="209"/>
    </w:p>
    <w:p w:rsidR="00C241C7" w:rsidRPr="001D032A" w:rsidRDefault="00C241C7" w:rsidP="00C241C7"/>
    <w:p w:rsidR="00616DA5" w:rsidRPr="001D032A" w:rsidRDefault="00616DA5" w:rsidP="00616DA5">
      <w:pPr>
        <w:jc w:val="both"/>
        <w:rPr>
          <w:sz w:val="24"/>
          <w:szCs w:val="24"/>
        </w:rPr>
      </w:pPr>
      <w:bookmarkStart w:id="210" w:name="_Toc460455322"/>
      <w:r w:rsidRPr="001D032A">
        <w:rPr>
          <w:bCs/>
          <w:sz w:val="24"/>
          <w:szCs w:val="24"/>
        </w:rPr>
        <w:t>Náklady na preventivní péči</w:t>
      </w:r>
      <w:r w:rsidRPr="001D032A">
        <w:rPr>
          <w:sz w:val="24"/>
          <w:szCs w:val="24"/>
        </w:rPr>
        <w:t xml:space="preserve"> čerpané z Fprev plánuje ZP MV ČR ve výši 147,3 mil. Kč, tj. meziroční zvýšení nákladů o 14,9 %, v absolutním vyjádření o 19,1 mil. Kč. Program prevence ZP MV ČR pro rok 2018 je členěn do dvou skupin. K nárůstu nákladů dojde u zdravotně preventivních programů (o 13,8 %) i u ozdravných pobytů (o 19,8 %). </w:t>
      </w:r>
    </w:p>
    <w:p w:rsidR="003E1B90" w:rsidRPr="001D032A" w:rsidRDefault="003E1B90" w:rsidP="00C241C7">
      <w:pPr>
        <w:pStyle w:val="Nadpis3"/>
      </w:pPr>
      <w:bookmarkStart w:id="211" w:name="_Toc525944219"/>
      <w:r w:rsidRPr="001D032A">
        <w:t>Tabulka 21: Náklady na preventivní zdravotní péči čerpané z fondu prevence</w:t>
      </w:r>
      <w:bookmarkEnd w:id="210"/>
      <w:bookmarkEnd w:id="211"/>
    </w:p>
    <w:tbl>
      <w:tblPr>
        <w:tblStyle w:val="Tabulkasmkou4zvraznn1"/>
        <w:tblW w:w="0" w:type="auto"/>
        <w:tblLayout w:type="fixed"/>
        <w:tblLook w:val="04A0" w:firstRow="1" w:lastRow="0" w:firstColumn="1" w:lastColumn="0" w:noHBand="0" w:noVBand="1"/>
      </w:tblPr>
      <w:tblGrid>
        <w:gridCol w:w="2093"/>
        <w:gridCol w:w="992"/>
        <w:gridCol w:w="993"/>
        <w:gridCol w:w="992"/>
        <w:gridCol w:w="992"/>
        <w:gridCol w:w="992"/>
        <w:gridCol w:w="992"/>
        <w:gridCol w:w="992"/>
      </w:tblGrid>
      <w:tr w:rsidR="00C241C7" w:rsidRPr="001D032A" w:rsidTr="00C241C7">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C241C7" w:rsidRPr="001D032A" w:rsidRDefault="00C241C7" w:rsidP="003E1B90">
            <w:pPr>
              <w:pStyle w:val="Zkladntext"/>
              <w:spacing w:after="0" w:line="280" w:lineRule="atLeast"/>
              <w:jc w:val="center"/>
              <w:rPr>
                <w:rFonts w:ascii="Calibri" w:hAnsi="Calibri" w:cs="Arial"/>
                <w:bCs w:val="0"/>
                <w:color w:val="FFFFFF"/>
                <w:sz w:val="24"/>
                <w:lang w:val="cs-CZ"/>
              </w:rPr>
            </w:pPr>
            <w:r w:rsidRPr="001D032A">
              <w:rPr>
                <w:rFonts w:ascii="Calibri" w:hAnsi="Calibri" w:cs="Arial"/>
                <w:bCs w:val="0"/>
                <w:color w:val="FFFFFF"/>
                <w:sz w:val="24"/>
                <w:lang w:val="cs-CZ"/>
              </w:rPr>
              <w:t>Ukazatel</w:t>
            </w:r>
          </w:p>
          <w:p w:rsidR="00C241C7" w:rsidRPr="001D032A" w:rsidRDefault="00C241C7" w:rsidP="003E1B90">
            <w:pPr>
              <w:pStyle w:val="Zkladntext"/>
              <w:spacing w:after="0" w:line="280" w:lineRule="atLeast"/>
              <w:jc w:val="center"/>
              <w:rPr>
                <w:rFonts w:ascii="Calibri" w:hAnsi="Calibri" w:cs="Arial"/>
                <w:bCs w:val="0"/>
                <w:color w:val="FFFFFF"/>
                <w:sz w:val="24"/>
                <w:lang w:val="cs-CZ"/>
              </w:rPr>
            </w:pPr>
            <w:r w:rsidRPr="001D032A">
              <w:rPr>
                <w:rFonts w:ascii="Calibri" w:hAnsi="Calibri" w:cs="Arial"/>
                <w:bCs w:val="0"/>
                <w:color w:val="FFFFFF"/>
                <w:sz w:val="24"/>
                <w:lang w:val="cs-CZ"/>
              </w:rPr>
              <w:t>(</w:t>
            </w:r>
            <w:r w:rsidR="008D2F33">
              <w:rPr>
                <w:rFonts w:ascii="Calibri" w:hAnsi="Calibri" w:cs="Arial"/>
                <w:bCs w:val="0"/>
                <w:color w:val="FFFFFF"/>
                <w:sz w:val="24"/>
                <w:lang w:val="cs-CZ"/>
              </w:rPr>
              <w:t>v mil.</w:t>
            </w:r>
            <w:r w:rsidRPr="001D032A">
              <w:rPr>
                <w:rFonts w:ascii="Calibri" w:hAnsi="Calibri" w:cs="Arial"/>
                <w:bCs w:val="0"/>
                <w:color w:val="FFFFFF"/>
                <w:sz w:val="24"/>
                <w:lang w:val="cs-CZ"/>
              </w:rPr>
              <w:t xml:space="preserve"> Kč)</w:t>
            </w:r>
          </w:p>
        </w:tc>
        <w:tc>
          <w:tcPr>
            <w:tcW w:w="992"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2</w:t>
            </w:r>
          </w:p>
        </w:tc>
        <w:tc>
          <w:tcPr>
            <w:tcW w:w="993"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3</w:t>
            </w:r>
          </w:p>
        </w:tc>
        <w:tc>
          <w:tcPr>
            <w:tcW w:w="992"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4</w:t>
            </w:r>
          </w:p>
        </w:tc>
        <w:tc>
          <w:tcPr>
            <w:tcW w:w="992"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5</w:t>
            </w:r>
          </w:p>
        </w:tc>
        <w:tc>
          <w:tcPr>
            <w:tcW w:w="992"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6</w:t>
            </w:r>
          </w:p>
        </w:tc>
        <w:tc>
          <w:tcPr>
            <w:tcW w:w="992"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7</w:t>
            </w:r>
            <w:r w:rsidRPr="001D032A">
              <w:rPr>
                <w:rFonts w:ascii="Calibri" w:hAnsi="Calibri"/>
                <w:bCs w:val="0"/>
                <w:color w:val="FFFFFF"/>
              </w:rPr>
              <w:t>*</w:t>
            </w:r>
          </w:p>
        </w:tc>
        <w:tc>
          <w:tcPr>
            <w:tcW w:w="992" w:type="dxa"/>
            <w:vAlign w:val="center"/>
          </w:tcPr>
          <w:p w:rsidR="00C241C7" w:rsidRPr="001D032A" w:rsidRDefault="00C241C7"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8</w:t>
            </w:r>
            <w:r w:rsidRPr="001D032A">
              <w:rPr>
                <w:rFonts w:ascii="Calibri" w:hAnsi="Calibri"/>
                <w:bCs w:val="0"/>
                <w:color w:val="FFFFFF"/>
              </w:rPr>
              <w:t>**</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616DA5" w:rsidRPr="001D032A" w:rsidRDefault="00616DA5" w:rsidP="00616DA5">
            <w:pPr>
              <w:rPr>
                <w:rFonts w:ascii="Calibri" w:hAnsi="Calibri"/>
                <w:b w:val="0"/>
                <w:bCs w:val="0"/>
                <w:sz w:val="20"/>
                <w:szCs w:val="20"/>
              </w:rPr>
            </w:pPr>
            <w:r w:rsidRPr="001D032A">
              <w:rPr>
                <w:rFonts w:ascii="Calibri" w:hAnsi="Calibri"/>
                <w:b w:val="0"/>
                <w:bCs w:val="0"/>
                <w:sz w:val="20"/>
                <w:szCs w:val="20"/>
              </w:rPr>
              <w:t>Náklady na zdravotní programy</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65</w:t>
            </w:r>
          </w:p>
        </w:tc>
        <w:tc>
          <w:tcPr>
            <w:tcW w:w="993"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63</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69</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85</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79</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105</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120</w:t>
            </w:r>
          </w:p>
        </w:tc>
      </w:tr>
      <w:tr w:rsidR="00616DA5" w:rsidRPr="001D032A" w:rsidTr="00616DA5">
        <w:trPr>
          <w:trHeight w:val="73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616DA5" w:rsidRPr="001D032A" w:rsidRDefault="00616DA5" w:rsidP="00616DA5">
            <w:pPr>
              <w:rPr>
                <w:rFonts w:ascii="Calibri" w:hAnsi="Calibri"/>
                <w:b w:val="0"/>
                <w:bCs w:val="0"/>
                <w:sz w:val="20"/>
                <w:szCs w:val="20"/>
              </w:rPr>
            </w:pPr>
            <w:r w:rsidRPr="001D032A">
              <w:rPr>
                <w:rFonts w:ascii="Calibri" w:hAnsi="Calibri"/>
                <w:b w:val="0"/>
                <w:bCs w:val="0"/>
                <w:sz w:val="20"/>
                <w:szCs w:val="20"/>
              </w:rPr>
              <w:t>Náklady na ozdravné pobyty</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27</w:t>
            </w:r>
          </w:p>
        </w:tc>
        <w:tc>
          <w:tcPr>
            <w:tcW w:w="993"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30</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31</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30</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32</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23</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sz w:val="21"/>
                <w:szCs w:val="21"/>
              </w:rPr>
            </w:pPr>
            <w:r w:rsidRPr="001D032A">
              <w:rPr>
                <w:rFonts w:ascii="Calibri" w:hAnsi="Calibri"/>
                <w:sz w:val="21"/>
                <w:szCs w:val="21"/>
              </w:rPr>
              <w:t>28</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616DA5" w:rsidRPr="001D032A" w:rsidRDefault="00616DA5" w:rsidP="00616DA5">
            <w:pPr>
              <w:rPr>
                <w:rFonts w:ascii="Calibri" w:hAnsi="Calibri"/>
                <w:b w:val="0"/>
                <w:bCs w:val="0"/>
                <w:sz w:val="20"/>
                <w:szCs w:val="20"/>
              </w:rPr>
            </w:pPr>
            <w:r w:rsidRPr="001D032A">
              <w:rPr>
                <w:rFonts w:ascii="Calibri" w:hAnsi="Calibri"/>
                <w:b w:val="0"/>
                <w:bCs w:val="0"/>
                <w:sz w:val="20"/>
                <w:szCs w:val="20"/>
              </w:rPr>
              <w:t>Ostatní činnosti</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93"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0</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c>
          <w:tcPr>
            <w:tcW w:w="992"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sz w:val="21"/>
                <w:szCs w:val="21"/>
              </w:rPr>
            </w:pPr>
            <w:r w:rsidRPr="001D032A">
              <w:rPr>
                <w:rFonts w:ascii="Calibri" w:hAnsi="Calibri"/>
                <w:sz w:val="21"/>
                <w:szCs w:val="21"/>
              </w:rPr>
              <w:t>0</w:t>
            </w:r>
          </w:p>
        </w:tc>
      </w:tr>
      <w:tr w:rsidR="00616DA5" w:rsidRPr="001D032A" w:rsidTr="00616DA5">
        <w:trPr>
          <w:trHeight w:val="73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616DA5" w:rsidRPr="001D032A" w:rsidRDefault="00616DA5" w:rsidP="00616DA5">
            <w:pPr>
              <w:rPr>
                <w:rFonts w:ascii="Calibri" w:hAnsi="Calibri"/>
                <w:b w:val="0"/>
                <w:bCs w:val="0"/>
                <w:sz w:val="20"/>
                <w:szCs w:val="20"/>
              </w:rPr>
            </w:pPr>
            <w:r w:rsidRPr="001D032A">
              <w:rPr>
                <w:rFonts w:ascii="Calibri" w:hAnsi="Calibri"/>
                <w:b w:val="0"/>
                <w:bCs w:val="0"/>
                <w:sz w:val="20"/>
                <w:szCs w:val="20"/>
              </w:rPr>
              <w:t>Celkové náklady na preventivní zdravotní péči</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92</w:t>
            </w:r>
          </w:p>
        </w:tc>
        <w:tc>
          <w:tcPr>
            <w:tcW w:w="993"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1"/>
                <w:szCs w:val="21"/>
              </w:rPr>
            </w:pPr>
            <w:r w:rsidRPr="001D032A">
              <w:rPr>
                <w:rFonts w:ascii="Calibri" w:hAnsi="Calibri"/>
                <w:b/>
                <w:bCs/>
                <w:sz w:val="21"/>
                <w:szCs w:val="21"/>
              </w:rPr>
              <w:t>92</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101</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115</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111</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128</w:t>
            </w:r>
          </w:p>
        </w:tc>
        <w:tc>
          <w:tcPr>
            <w:tcW w:w="992"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147</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C241C7">
      <w:pPr>
        <w:pStyle w:val="Nadpis3"/>
        <w:jc w:val="center"/>
      </w:pPr>
      <w:bookmarkStart w:id="212" w:name="_Toc491000300"/>
      <w:bookmarkStart w:id="213" w:name="_Toc525944220"/>
      <w:r w:rsidRPr="001D032A">
        <w:t>Zdroj: Ministerstvo zdravotnictví ČR</w:t>
      </w:r>
      <w:bookmarkEnd w:id="212"/>
      <w:bookmarkEnd w:id="213"/>
    </w:p>
    <w:p w:rsidR="00C241C7" w:rsidRPr="001D032A" w:rsidRDefault="00C241C7" w:rsidP="00C241C7"/>
    <w:p w:rsidR="003E1B90" w:rsidRPr="001D032A" w:rsidRDefault="003E1B90" w:rsidP="003E1B90">
      <w:pPr>
        <w:pStyle w:val="Nadpis3"/>
      </w:pPr>
      <w:bookmarkStart w:id="214" w:name="_Toc460456863"/>
      <w:bookmarkStart w:id="215" w:name="_Toc491000301"/>
      <w:bookmarkStart w:id="216" w:name="_Toc525944221"/>
      <w:r w:rsidRPr="001D032A">
        <w:t>Závěr</w:t>
      </w:r>
      <w:bookmarkEnd w:id="214"/>
      <w:bookmarkEnd w:id="215"/>
      <w:bookmarkEnd w:id="216"/>
    </w:p>
    <w:p w:rsidR="00616DA5" w:rsidRPr="001D032A" w:rsidRDefault="00616DA5" w:rsidP="00616DA5">
      <w:pPr>
        <w:jc w:val="both"/>
        <w:rPr>
          <w:sz w:val="24"/>
          <w:szCs w:val="24"/>
        </w:rPr>
      </w:pPr>
      <w:r w:rsidRPr="001D032A">
        <w:rPr>
          <w:sz w:val="24"/>
          <w:szCs w:val="24"/>
        </w:rPr>
        <w:t>Ministerstvo zdravotnictví ověřilo soulad plánovaných nákladů na jednotlivé segmenty s modelovaným dopadem úhradové vyhlášky na rok 2018. V případě ZP MV ČR lze konstatovat, že struktura nákladů dle segmentů umožňuje naplnění cílů úhradové vyhlášky pro rok 2018 v případě jejího dodržení. Na příjmové i nákladové stránce se ZPP shoduje s predikcemi MZ. ZP MV ČR bude v roce 2018 hospodařit mírně přebytkově.</w:t>
      </w:r>
    </w:p>
    <w:p w:rsidR="003E1B90" w:rsidRPr="001D032A" w:rsidRDefault="005A1CC4" w:rsidP="005E5530">
      <w:pPr>
        <w:pStyle w:val="Nadpis2"/>
      </w:pPr>
      <w:hyperlink r:id="rId30" w:history="1">
        <w:bookmarkStart w:id="217" w:name="_Toc460456864"/>
        <w:bookmarkStart w:id="218" w:name="_Toc525944507"/>
        <w:r w:rsidR="003E1B90" w:rsidRPr="001D032A">
          <w:rPr>
            <w:rStyle w:val="Hypertextovodkaz"/>
            <w:color w:val="7B230B" w:themeColor="accent1" w:themeShade="BF"/>
            <w:u w:val="none"/>
          </w:rPr>
          <w:t>Revírní bratrská pokladna, zdravotní pojišťovna</w:t>
        </w:r>
      </w:hyperlink>
      <w:r w:rsidR="003E1B90" w:rsidRPr="001D032A">
        <w:t xml:space="preserve"> (RBP)</w:t>
      </w:r>
      <w:bookmarkEnd w:id="217"/>
      <w:bookmarkEnd w:id="218"/>
    </w:p>
    <w:p w:rsidR="003E1B90" w:rsidRPr="001D032A" w:rsidRDefault="003E1B90" w:rsidP="005E5530">
      <w:pPr>
        <w:pStyle w:val="Nadpis3"/>
      </w:pPr>
      <w:bookmarkStart w:id="219" w:name="_Toc460456865"/>
      <w:bookmarkStart w:id="220" w:name="_Toc491000302"/>
      <w:bookmarkStart w:id="221" w:name="_Toc525944222"/>
      <w:r w:rsidRPr="001D032A">
        <w:t>Hodnocení ekonomické</w:t>
      </w:r>
      <w:bookmarkEnd w:id="219"/>
      <w:bookmarkEnd w:id="220"/>
      <w:bookmarkEnd w:id="221"/>
    </w:p>
    <w:p w:rsidR="00616DA5" w:rsidRPr="001D032A" w:rsidRDefault="00616DA5" w:rsidP="00616DA5">
      <w:pPr>
        <w:jc w:val="both"/>
        <w:rPr>
          <w:sz w:val="24"/>
          <w:szCs w:val="24"/>
        </w:rPr>
      </w:pPr>
      <w:bookmarkStart w:id="222" w:name="_Toc460455323"/>
      <w:r w:rsidRPr="001D032A">
        <w:rPr>
          <w:sz w:val="24"/>
          <w:szCs w:val="24"/>
        </w:rPr>
        <w:t>Základními parametry, které ovlivnily sestavení ZPP 2018, jsou plánovaný počet pojištěnců a výběr pojistného. V ukazateli průměrného počtu pojištěnců je předpoklad snížení počtu o 0,4</w:t>
      </w:r>
      <w:r w:rsidR="008D2F33">
        <w:rPr>
          <w:sz w:val="24"/>
          <w:szCs w:val="24"/>
        </w:rPr>
        <w:t> </w:t>
      </w:r>
      <w:r w:rsidRPr="001D032A">
        <w:rPr>
          <w:sz w:val="24"/>
          <w:szCs w:val="24"/>
        </w:rPr>
        <w:t xml:space="preserve">% (tj. o 1 878 osob) oproti očekávané skutečnosti roku 2017 na 429 712 osob. Počet pojištěnců je plánován s ohledem na vliv nové legislativy a konkurenčního prostředí v oblastech působnosti pojišťovny. RBP si i nadále hodlá zachovat převážně regionální charakter s postupným rozšiřováním své činnosti zejména na území celé Moravy a Slezska a Ústeckého kraje. Více než polovinu všech pojištěnců tvoří pojištěnci, za které je plátcem pojistného stát. </w:t>
      </w:r>
    </w:p>
    <w:p w:rsidR="00616DA5" w:rsidRPr="001D032A" w:rsidRDefault="00616DA5" w:rsidP="00616DA5">
      <w:pPr>
        <w:jc w:val="both"/>
        <w:rPr>
          <w:sz w:val="24"/>
          <w:szCs w:val="24"/>
        </w:rPr>
      </w:pPr>
      <w:r w:rsidRPr="001D032A">
        <w:rPr>
          <w:sz w:val="24"/>
          <w:szCs w:val="24"/>
        </w:rPr>
        <w:t xml:space="preserve">Výběr pojistného je plánován ve výši 7,67 mld. Kč a v přepočtu na 1 pojištěnce vychází na 17 849 Kč. Meziroční navýšení tohoto ukazatele je plánováno v souvislosti s Makroekonomickou predikcí ČR na 7,6 %. Nárůst příjmů po přerozdělování na 1 pojištěnce je plánován meziročně vyšší o 7 % a představuje 24 993 Kč. Celkové příjmy po přerozdělování by měly dosáhnout 10,74 mld. Kč. V roce 2018 bude mít na pojišťovnu negativní dopad v řádu desítek milionů Kč zavedení přerozdělování podle indexů farmaceuticko-nákladových skupin (PCG). </w:t>
      </w:r>
    </w:p>
    <w:p w:rsidR="00616DA5" w:rsidRPr="001D032A" w:rsidRDefault="00616DA5" w:rsidP="00616DA5">
      <w:pPr>
        <w:jc w:val="both"/>
        <w:rPr>
          <w:sz w:val="24"/>
          <w:szCs w:val="24"/>
        </w:rPr>
      </w:pPr>
      <w:r w:rsidRPr="001D032A">
        <w:rPr>
          <w:sz w:val="24"/>
          <w:szCs w:val="24"/>
        </w:rPr>
        <w:t>Výdaje na zdravotní služby ze ZFZP jsou plánovány ve výši 10,4 mld. Kč, v přepočtu na jednoho pojištěnce dosahují 24 202 Kč, tj. navýšení oproti očekávané skutečnosti roku 2017 o 5,7 %. Saldo celkových příjmů a výdajů se plánuje kladné ve výši 26 mil. Kč. Meziročně dochází ke zlepšení salda o 99 mil. Kč. Zůstatky na BÚ celkem se meziročně zvýší o 24 mil. Kč na celkových 1,43 mld. Kč.</w:t>
      </w:r>
    </w:p>
    <w:p w:rsidR="00616DA5" w:rsidRPr="001D032A" w:rsidRDefault="00616DA5" w:rsidP="00616DA5">
      <w:pPr>
        <w:jc w:val="both"/>
        <w:rPr>
          <w:sz w:val="24"/>
          <w:szCs w:val="24"/>
        </w:rPr>
      </w:pPr>
      <w:r w:rsidRPr="001D032A">
        <w:rPr>
          <w:sz w:val="24"/>
          <w:szCs w:val="24"/>
        </w:rPr>
        <w:t>Příjmy Fprev plánované ve výši 65,5 mil. Kč tvoří mimo jiné příjmy z PF ve výši 28 mil. Kč a příjmy ze zisku po zdanění ve výši 645 tis. Kč. Výdaje na preventivní programy budou meziročně navýšeny o 29,5 % na celkových 57,46 mil. Kč vzhledem k vysoce ekologicky zatíženému regionu, ve kterém RBP působí.</w:t>
      </w:r>
    </w:p>
    <w:p w:rsidR="00616DA5" w:rsidRPr="001D032A" w:rsidRDefault="00616DA5" w:rsidP="00616DA5">
      <w:pPr>
        <w:jc w:val="both"/>
        <w:rPr>
          <w:sz w:val="24"/>
          <w:szCs w:val="24"/>
        </w:rPr>
      </w:pPr>
      <w:r w:rsidRPr="001D032A">
        <w:rPr>
          <w:sz w:val="24"/>
          <w:szCs w:val="24"/>
        </w:rPr>
        <w:t>Příděl do PF je plánován ve výši 3,07 % z vybraného pojistného po přerozdělování, náhrad škod, pokut, penále a přirážek k pojistnému. V roce 2018 je plánován skutečný příděl ze ZFZP ve výši 331 mil. Kč. Výdaje na vlastní činnost budou činit 308 mil. Kč a meziročně se navýší o 8,5 %. Z ostatních provozních nákladů tvoří největší položky služby v oblasti IT ve výši 12</w:t>
      </w:r>
      <w:r w:rsidR="0051475D">
        <w:rPr>
          <w:sz w:val="24"/>
          <w:szCs w:val="24"/>
        </w:rPr>
        <w:t> </w:t>
      </w:r>
      <w:r w:rsidRPr="001D032A">
        <w:rPr>
          <w:sz w:val="24"/>
          <w:szCs w:val="24"/>
        </w:rPr>
        <w:t>mil.</w:t>
      </w:r>
      <w:r w:rsidR="0051475D">
        <w:rPr>
          <w:sz w:val="24"/>
          <w:szCs w:val="24"/>
        </w:rPr>
        <w:t> </w:t>
      </w:r>
      <w:r w:rsidRPr="001D032A">
        <w:rPr>
          <w:sz w:val="24"/>
          <w:szCs w:val="24"/>
        </w:rPr>
        <w:t>Kč, reklama ve výši cca 32 mil. Kč a služby nemateriální povahy ve výši cca 15 mil. Kč. Nově se plánují investice ve výši 16 mil. Kč. Jedná se o investice stavební ve výši 0,8 mil. Kč, investice provozní ve výši 2,7 mil. Kč a investice do HW a SW ve výši 12,6 mil. Kč.</w:t>
      </w:r>
      <w:r w:rsidRPr="001D032A">
        <w:rPr>
          <w:sz w:val="24"/>
          <w:szCs w:val="24"/>
        </w:rPr>
        <w:tab/>
        <w:t xml:space="preserve"> </w:t>
      </w:r>
    </w:p>
    <w:p w:rsidR="00616DA5" w:rsidRPr="001D032A" w:rsidRDefault="00616DA5" w:rsidP="00616DA5">
      <w:pPr>
        <w:jc w:val="both"/>
        <w:rPr>
          <w:sz w:val="24"/>
          <w:szCs w:val="24"/>
        </w:rPr>
      </w:pPr>
      <w:r w:rsidRPr="001D032A">
        <w:rPr>
          <w:sz w:val="24"/>
          <w:szCs w:val="24"/>
        </w:rPr>
        <w:t>Celkové pohledávky se předpokládají ve výši 1,35 mld. Kč, což znamená nárůst o 6,4 %. Z toho pohledávky za plátci pojistného po lhůtě splatnosti tvoří 578 mil. Kč a jejich nárůst se plánuje ve výši 6,4 %. Za tímto nárůstem je zvýšená kontrola plátců. K pohledávkám za PZS ve lhůtě splatnosti patří kromě dohadné položky za PZS a zálohy na očkovací látky také pohledávky z titulu revizí.</w:t>
      </w:r>
    </w:p>
    <w:p w:rsidR="00616DA5" w:rsidRPr="001D032A" w:rsidRDefault="00616DA5" w:rsidP="00616DA5">
      <w:pPr>
        <w:jc w:val="both"/>
        <w:rPr>
          <w:sz w:val="24"/>
          <w:szCs w:val="24"/>
        </w:rPr>
      </w:pPr>
      <w:r w:rsidRPr="001D032A">
        <w:rPr>
          <w:sz w:val="24"/>
          <w:szCs w:val="24"/>
        </w:rPr>
        <w:t xml:space="preserve">Celkové závazky celkem jsou plánovány ve výši 1,32 mld. Kč s meziročním navýšením o 6 %. Závazky vůči PZS ve lhůtě jsou standardní veličinou, jejichž objem je plánován ve vazbě na počet a strukturu pojištěnců a objem jim poskytnuté, resp. uznané zdravotní péče. Výše </w:t>
      </w:r>
      <w:r w:rsidRPr="001D032A">
        <w:rPr>
          <w:sz w:val="24"/>
          <w:szCs w:val="24"/>
        </w:rPr>
        <w:lastRenderedPageBreak/>
        <w:t>závazků pro rok 2018 je ovlivněna vyšší dohadnou položkou v porovnání s rokem 2017. Závazky vůči PZS po lhůtě splatnosti pojišťovna neočekává.</w:t>
      </w:r>
    </w:p>
    <w:p w:rsidR="003E1B90" w:rsidRPr="001D032A" w:rsidRDefault="003E1B90" w:rsidP="00616DA5">
      <w:pPr>
        <w:pStyle w:val="Nadpis3"/>
      </w:pPr>
      <w:bookmarkStart w:id="223" w:name="_Toc525944223"/>
      <w:r w:rsidRPr="001D032A">
        <w:t>Graf 9: Příjmy a výdaje RBP</w:t>
      </w:r>
      <w:bookmarkEnd w:id="222"/>
      <w:r w:rsidR="008D2F33">
        <w:t xml:space="preserve"> v milionech Kč</w:t>
      </w:r>
      <w:bookmarkEnd w:id="223"/>
    </w:p>
    <w:p w:rsidR="00786660" w:rsidRDefault="00616DA5" w:rsidP="00786660">
      <w:r w:rsidRPr="001D032A">
        <w:rPr>
          <w:noProof/>
          <w:lang w:eastAsia="cs-CZ"/>
        </w:rPr>
        <w:drawing>
          <wp:inline distT="0" distB="0" distL="0" distR="0" wp14:anchorId="63C3A40B" wp14:editId="63793759">
            <wp:extent cx="5715000" cy="2743200"/>
            <wp:effectExtent l="0" t="0" r="0" b="0"/>
            <wp:docPr id="14" name="Graf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D60E87-251C-45D4-932C-A4B7A0D7DA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1475D" w:rsidRPr="001D032A" w:rsidRDefault="0051475D" w:rsidP="0051475D">
      <w:pPr>
        <w:pStyle w:val="Bezmezer"/>
        <w:rPr>
          <w:sz w:val="20"/>
          <w:szCs w:val="20"/>
        </w:rPr>
      </w:pPr>
      <w:r w:rsidRPr="001D032A">
        <w:rPr>
          <w:sz w:val="20"/>
          <w:szCs w:val="20"/>
        </w:rPr>
        <w:t>* očekávaná skutečnost</w:t>
      </w:r>
    </w:p>
    <w:p w:rsidR="0051475D" w:rsidRPr="001D032A" w:rsidRDefault="0051475D" w:rsidP="0051475D">
      <w:pPr>
        <w:pStyle w:val="Bezmezer"/>
        <w:rPr>
          <w:sz w:val="20"/>
          <w:szCs w:val="20"/>
        </w:rPr>
      </w:pPr>
      <w:r w:rsidRPr="001D032A">
        <w:rPr>
          <w:sz w:val="20"/>
          <w:szCs w:val="20"/>
        </w:rPr>
        <w:t xml:space="preserve">** převzato ze zdravotních pojistných plánů </w:t>
      </w:r>
    </w:p>
    <w:p w:rsidR="003E1B90" w:rsidRPr="001D032A" w:rsidRDefault="003E1B90" w:rsidP="00786660">
      <w:pPr>
        <w:pStyle w:val="Nadpis3"/>
        <w:jc w:val="center"/>
      </w:pPr>
      <w:bookmarkStart w:id="224" w:name="_Toc491000304"/>
      <w:bookmarkStart w:id="225" w:name="_Toc525944224"/>
      <w:r w:rsidRPr="001D032A">
        <w:t>Zdroj: Ministerstvo zdravotnictví ČR</w:t>
      </w:r>
      <w:bookmarkEnd w:id="224"/>
      <w:bookmarkEnd w:id="225"/>
    </w:p>
    <w:p w:rsidR="00786660" w:rsidRPr="001D032A" w:rsidRDefault="00786660" w:rsidP="00786660"/>
    <w:p w:rsidR="003E1B90" w:rsidRPr="001D032A" w:rsidRDefault="003E1B90" w:rsidP="003E1B90">
      <w:pPr>
        <w:pStyle w:val="Nadpis3"/>
      </w:pPr>
      <w:bookmarkStart w:id="226" w:name="_Toc460456866"/>
      <w:bookmarkStart w:id="227" w:name="_Toc491000305"/>
      <w:bookmarkStart w:id="228" w:name="_Toc525944225"/>
      <w:r w:rsidRPr="001D032A">
        <w:t>Hodnocení zdravotní</w:t>
      </w:r>
      <w:bookmarkEnd w:id="226"/>
      <w:bookmarkEnd w:id="227"/>
      <w:bookmarkEnd w:id="228"/>
      <w:r w:rsidRPr="001D032A">
        <w:t xml:space="preserve"> </w:t>
      </w:r>
    </w:p>
    <w:p w:rsidR="00616DA5" w:rsidRPr="001D032A" w:rsidRDefault="00616DA5" w:rsidP="00616DA5">
      <w:pPr>
        <w:jc w:val="both"/>
        <w:rPr>
          <w:bCs/>
          <w:sz w:val="24"/>
          <w:szCs w:val="24"/>
        </w:rPr>
      </w:pPr>
      <w:bookmarkStart w:id="229" w:name="_Toc460455324"/>
      <w:r w:rsidRPr="001D032A">
        <w:rPr>
          <w:sz w:val="24"/>
          <w:szCs w:val="24"/>
        </w:rPr>
        <w:t>Prvořadým úkolem smluvní politiky RBP bude zajištění kvalitních a dostupných zdravotních služeb pro všechny klienty spoluvytvářením optimální sítě PZS, a to v úzké spolupráci s krajskými úřady Moravskoslezského, Olomouckého, Zlínského a Jihomoravského kraje. Zdravotní pojišťovna bude pokračovat v rozšiřování sítě smluvních PZS v oblastech, do kterých z důvodu studia nebo zaměstnání migrují její pojištěnci, tedy zejména v Praze a dalších krajských městech.</w:t>
      </w:r>
    </w:p>
    <w:p w:rsidR="008D2F33" w:rsidRDefault="00616DA5" w:rsidP="00616DA5">
      <w:pPr>
        <w:jc w:val="both"/>
        <w:rPr>
          <w:sz w:val="24"/>
          <w:szCs w:val="24"/>
        </w:rPr>
      </w:pPr>
      <w:r w:rsidRPr="001D032A">
        <w:rPr>
          <w:sz w:val="24"/>
          <w:szCs w:val="24"/>
        </w:rPr>
        <w:t>Pro klienty mimo hlavní zájmové regiony RBP jsou zdravotní služby smluvně zajištěny téměř ve všech nemocnicích ČR a v místech soustředění poskytovaných zdravotních služeb. V souvislosti se záměrem RBP rozšířit stávající síť PZS zejména v ambulantní péči je plánován pro rok 2018 v oboru všeobecného praktického lékařství a praktického lékařství pro děti a dorost nárůst o 0,6 %, v segmentu specializovaných ambulantních služeb o 1,8 % a v segmentu stomatologických služeb o 1,3 %.</w:t>
      </w:r>
    </w:p>
    <w:p w:rsidR="008D2F33" w:rsidRDefault="008D2F33">
      <w:pPr>
        <w:rPr>
          <w:sz w:val="24"/>
          <w:szCs w:val="24"/>
        </w:rPr>
      </w:pPr>
      <w:r>
        <w:rPr>
          <w:sz w:val="24"/>
          <w:szCs w:val="24"/>
        </w:rPr>
        <w:br w:type="page"/>
      </w:r>
    </w:p>
    <w:p w:rsidR="003E1B90" w:rsidRPr="001D032A" w:rsidRDefault="003E1B90" w:rsidP="00786660">
      <w:pPr>
        <w:pStyle w:val="Nadpis3"/>
      </w:pPr>
      <w:bookmarkStart w:id="230" w:name="_Toc525944226"/>
      <w:r w:rsidRPr="001D032A">
        <w:lastRenderedPageBreak/>
        <w:t>Tabulka 22: Soustava smluvních poskytovatelů zdravotních služeb</w:t>
      </w:r>
      <w:bookmarkEnd w:id="229"/>
      <w:bookmarkEnd w:id="230"/>
    </w:p>
    <w:tbl>
      <w:tblPr>
        <w:tblStyle w:val="Tabulkasmkou4zvraznn1"/>
        <w:tblW w:w="9062" w:type="dxa"/>
        <w:tblLayout w:type="fixed"/>
        <w:tblLook w:val="04A0" w:firstRow="1" w:lastRow="0" w:firstColumn="1" w:lastColumn="0" w:noHBand="0" w:noVBand="1"/>
      </w:tblPr>
      <w:tblGrid>
        <w:gridCol w:w="2227"/>
        <w:gridCol w:w="977"/>
        <w:gridCol w:w="977"/>
        <w:gridCol w:w="977"/>
        <w:gridCol w:w="976"/>
        <w:gridCol w:w="976"/>
        <w:gridCol w:w="976"/>
        <w:gridCol w:w="976"/>
      </w:tblGrid>
      <w:tr w:rsidR="00786660" w:rsidRPr="001D032A" w:rsidTr="00786660">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786660" w:rsidRPr="001D032A" w:rsidRDefault="00786660" w:rsidP="008D2F33">
            <w:pPr>
              <w:jc w:val="center"/>
              <w:rPr>
                <w:rFonts w:ascii="Calibri" w:hAnsi="Calibri"/>
                <w:bCs w:val="0"/>
                <w:color w:val="FFFFFF"/>
              </w:rPr>
            </w:pPr>
            <w:r w:rsidRPr="001D032A">
              <w:rPr>
                <w:rFonts w:ascii="Calibri" w:hAnsi="Calibri"/>
                <w:bCs w:val="0"/>
                <w:color w:val="FFFFFF"/>
              </w:rPr>
              <w:t>Kategorie</w:t>
            </w:r>
          </w:p>
          <w:p w:rsidR="00786660" w:rsidRPr="001D032A" w:rsidRDefault="00786660" w:rsidP="008D2F33">
            <w:pPr>
              <w:jc w:val="center"/>
              <w:rPr>
                <w:rFonts w:ascii="Calibri" w:hAnsi="Calibri"/>
                <w:bCs w:val="0"/>
                <w:color w:val="FFFFFF"/>
              </w:rPr>
            </w:pPr>
            <w:r w:rsidRPr="001D032A">
              <w:rPr>
                <w:rFonts w:ascii="Calibri" w:hAnsi="Calibri"/>
                <w:bCs w:val="0"/>
                <w:color w:val="FFFFFF"/>
              </w:rPr>
              <w:t>smluvních PZS</w:t>
            </w:r>
          </w:p>
        </w:tc>
        <w:tc>
          <w:tcPr>
            <w:tcW w:w="977"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2</w:t>
            </w:r>
          </w:p>
        </w:tc>
        <w:tc>
          <w:tcPr>
            <w:tcW w:w="977"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3</w:t>
            </w:r>
          </w:p>
        </w:tc>
        <w:tc>
          <w:tcPr>
            <w:tcW w:w="977"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4</w:t>
            </w:r>
          </w:p>
        </w:tc>
        <w:tc>
          <w:tcPr>
            <w:tcW w:w="976"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5</w:t>
            </w:r>
          </w:p>
        </w:tc>
        <w:tc>
          <w:tcPr>
            <w:tcW w:w="976"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6</w:t>
            </w:r>
          </w:p>
        </w:tc>
        <w:tc>
          <w:tcPr>
            <w:tcW w:w="976"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7</w:t>
            </w:r>
            <w:r w:rsidRPr="001D032A">
              <w:rPr>
                <w:rFonts w:ascii="Calibri" w:hAnsi="Calibri"/>
                <w:bCs w:val="0"/>
                <w:color w:val="FFFFFF"/>
              </w:rPr>
              <w:t>*</w:t>
            </w:r>
          </w:p>
        </w:tc>
        <w:tc>
          <w:tcPr>
            <w:tcW w:w="976"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8</w:t>
            </w:r>
            <w:r w:rsidRPr="001D032A">
              <w:rPr>
                <w:rFonts w:ascii="Calibri" w:hAnsi="Calibri"/>
                <w:bCs w:val="0"/>
                <w:color w:val="FFFFFF"/>
              </w:rPr>
              <w:t>**</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Ambulantní poskytovatelé</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6 954</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7 591</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7 999</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7 693</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7 850</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7 985</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8 094</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 xml:space="preserve">Praktický lékař pro dospělé </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1 502</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1 633</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1 695</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1 583</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1 595</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1 607</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1 617</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 xml:space="preserve">Praktický lékař pro děti a dorost </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801</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872</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906</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887</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893</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896</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898</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Praktický zubní lékař</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1 758</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1 895</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1 997</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1 922</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1 967</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1 999</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2 025</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 xml:space="preserve">Ostatní ambulantní poskytovatelé </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2 893</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3 191</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3 401</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3 301</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3 395</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3 483</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3 554</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 xml:space="preserve">Lůžkoví poskytovatelé </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D032A">
              <w:rPr>
                <w:color w:val="000000"/>
                <w:sz w:val="21"/>
                <w:szCs w:val="21"/>
              </w:rPr>
              <w:t>248</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264</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271</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276</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286</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298</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color w:val="000000"/>
                <w:sz w:val="21"/>
                <w:szCs w:val="21"/>
              </w:rPr>
            </w:pPr>
            <w:r w:rsidRPr="001D032A">
              <w:rPr>
                <w:rFonts w:cs="Arial"/>
                <w:color w:val="000000"/>
                <w:sz w:val="21"/>
                <w:szCs w:val="21"/>
              </w:rPr>
              <w:t>310</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 xml:space="preserve">Ostatní poskytovatelé </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D032A">
              <w:rPr>
                <w:color w:val="000000"/>
                <w:sz w:val="21"/>
                <w:szCs w:val="21"/>
              </w:rPr>
              <w:t>1 879</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1 991</w:t>
            </w:r>
          </w:p>
        </w:tc>
        <w:tc>
          <w:tcPr>
            <w:tcW w:w="977"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2 069</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1 605</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1 654</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1 724</w:t>
            </w:r>
          </w:p>
        </w:tc>
        <w:tc>
          <w:tcPr>
            <w:tcW w:w="976"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cs="Arial"/>
                <w:color w:val="000000"/>
                <w:sz w:val="21"/>
                <w:szCs w:val="21"/>
              </w:rPr>
            </w:pPr>
            <w:r w:rsidRPr="001D032A">
              <w:rPr>
                <w:rFonts w:cs="Arial"/>
                <w:color w:val="000000"/>
                <w:sz w:val="21"/>
                <w:szCs w:val="21"/>
              </w:rPr>
              <w:t>1 779</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2227" w:type="dxa"/>
            <w:vAlign w:val="center"/>
          </w:tcPr>
          <w:p w:rsidR="00616DA5" w:rsidRPr="001D032A" w:rsidRDefault="00616DA5" w:rsidP="00616DA5">
            <w:pPr>
              <w:rPr>
                <w:b w:val="0"/>
                <w:bCs w:val="0"/>
                <w:sz w:val="20"/>
                <w:szCs w:val="20"/>
              </w:rPr>
            </w:pPr>
            <w:r w:rsidRPr="001D032A">
              <w:rPr>
                <w:b w:val="0"/>
                <w:bCs w:val="0"/>
                <w:sz w:val="20"/>
                <w:szCs w:val="20"/>
              </w:rPr>
              <w:t>Celkem</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9 081</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9 846</w:t>
            </w:r>
          </w:p>
        </w:tc>
        <w:tc>
          <w:tcPr>
            <w:tcW w:w="977"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10 339</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9 574</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9 790</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10 007</w:t>
            </w:r>
          </w:p>
        </w:tc>
        <w:tc>
          <w:tcPr>
            <w:tcW w:w="976"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1"/>
                <w:szCs w:val="21"/>
              </w:rPr>
            </w:pPr>
            <w:r w:rsidRPr="001D032A">
              <w:rPr>
                <w:rFonts w:cs="Arial"/>
                <w:b/>
                <w:bCs/>
                <w:color w:val="000000"/>
                <w:sz w:val="21"/>
                <w:szCs w:val="21"/>
              </w:rPr>
              <w:t>10 183</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786660">
      <w:pPr>
        <w:pStyle w:val="Nadpis3"/>
        <w:jc w:val="center"/>
      </w:pPr>
      <w:bookmarkStart w:id="231" w:name="_Toc491000307"/>
      <w:bookmarkStart w:id="232" w:name="_Toc525944227"/>
      <w:r w:rsidRPr="001D032A">
        <w:t>Zdroj: Ministerstvo zdravotnictví ČR</w:t>
      </w:r>
      <w:bookmarkEnd w:id="231"/>
      <w:bookmarkEnd w:id="232"/>
    </w:p>
    <w:p w:rsidR="00786660" w:rsidRPr="001D032A" w:rsidRDefault="00786660" w:rsidP="00786660"/>
    <w:p w:rsidR="00616DA5" w:rsidRPr="001D032A" w:rsidRDefault="00616DA5" w:rsidP="00616DA5">
      <w:pPr>
        <w:jc w:val="both"/>
        <w:rPr>
          <w:sz w:val="24"/>
          <w:szCs w:val="24"/>
        </w:rPr>
      </w:pPr>
      <w:bookmarkStart w:id="233" w:name="_Toc460455325"/>
      <w:r w:rsidRPr="001D032A">
        <w:rPr>
          <w:sz w:val="24"/>
          <w:szCs w:val="24"/>
        </w:rPr>
        <w:t xml:space="preserve">Náklady </w:t>
      </w:r>
      <w:r w:rsidRPr="001D032A">
        <w:rPr>
          <w:bCs/>
          <w:sz w:val="24"/>
          <w:szCs w:val="24"/>
        </w:rPr>
        <w:t xml:space="preserve">na zdravotní služby hrazené ze ZFZP </w:t>
      </w:r>
      <w:r w:rsidRPr="001D032A">
        <w:rPr>
          <w:bCs/>
          <w:spacing w:val="-4"/>
          <w:sz w:val="24"/>
          <w:szCs w:val="24"/>
        </w:rPr>
        <w:t xml:space="preserve">plánuje RBP </w:t>
      </w:r>
      <w:r w:rsidRPr="001D032A">
        <w:rPr>
          <w:sz w:val="24"/>
          <w:szCs w:val="24"/>
        </w:rPr>
        <w:t>ve výši 10 473 mil. Kč, což představuje meziroční nárůst o 5,8 % oproti očekávané skutečnosti roku 2017.</w:t>
      </w:r>
      <w:r w:rsidRPr="001D032A">
        <w:rPr>
          <w:bCs/>
          <w:sz w:val="24"/>
          <w:szCs w:val="24"/>
        </w:rPr>
        <w:t xml:space="preserve"> </w:t>
      </w:r>
      <w:r w:rsidRPr="001D032A">
        <w:rPr>
          <w:spacing w:val="-4"/>
          <w:sz w:val="24"/>
          <w:szCs w:val="24"/>
        </w:rPr>
        <w:t>Průměrné náklady na zdravotní služby na 1 pojištěnce jsou plánovány ve výši 24 372</w:t>
      </w:r>
      <w:r w:rsidRPr="001D032A">
        <w:rPr>
          <w:sz w:val="24"/>
          <w:szCs w:val="24"/>
        </w:rPr>
        <w:t xml:space="preserve"> Kč, což znamená meziroční nárůst o 6,2 % oproti očekávané skutečnosti roku 2017. Náklady na zdravotní služby budou i v roce 2018 pokračovat v rostoucím trendu.</w:t>
      </w:r>
      <w:r w:rsidR="008D2F33">
        <w:rPr>
          <w:sz w:val="24"/>
          <w:szCs w:val="24"/>
        </w:rPr>
        <w:t xml:space="preserve"> </w:t>
      </w:r>
      <w:r w:rsidRPr="001D032A">
        <w:rPr>
          <w:sz w:val="24"/>
          <w:szCs w:val="24"/>
        </w:rPr>
        <w:t xml:space="preserve">Meziroční nárůst nákladů je očekáván ve všech segmentech zdravotní péče. U ambulantní péče plánuje RBP navýšení celkem o 3,0 %. </w:t>
      </w:r>
    </w:p>
    <w:p w:rsidR="003E1B90" w:rsidRPr="001D032A" w:rsidRDefault="003E1B90" w:rsidP="00786660">
      <w:pPr>
        <w:pStyle w:val="Nadpis3"/>
      </w:pPr>
      <w:bookmarkStart w:id="234" w:name="_Toc525944228"/>
      <w:r w:rsidRPr="001D032A">
        <w:t>Tabulka 23: Struktura nákladů na zdravotní služby podle jednotlivých segmentů</w:t>
      </w:r>
      <w:bookmarkEnd w:id="233"/>
      <w:bookmarkEnd w:id="234"/>
    </w:p>
    <w:tbl>
      <w:tblPr>
        <w:tblStyle w:val="Tabulkasmkou4zvraznn1"/>
        <w:tblW w:w="9062" w:type="dxa"/>
        <w:tblLayout w:type="fixed"/>
        <w:tblLook w:val="04A0" w:firstRow="1" w:lastRow="0" w:firstColumn="1" w:lastColumn="0" w:noHBand="0" w:noVBand="1"/>
      </w:tblPr>
      <w:tblGrid>
        <w:gridCol w:w="1783"/>
        <w:gridCol w:w="1039"/>
        <w:gridCol w:w="1040"/>
        <w:gridCol w:w="1040"/>
        <w:gridCol w:w="1040"/>
        <w:gridCol w:w="1040"/>
        <w:gridCol w:w="1040"/>
        <w:gridCol w:w="1040"/>
      </w:tblGrid>
      <w:tr w:rsidR="00786660" w:rsidRPr="001D032A" w:rsidTr="00786660">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83" w:type="dxa"/>
            <w:vAlign w:val="center"/>
          </w:tcPr>
          <w:p w:rsidR="00786660" w:rsidRPr="001D032A" w:rsidRDefault="00786660" w:rsidP="003E1B90">
            <w:pPr>
              <w:jc w:val="center"/>
              <w:rPr>
                <w:rFonts w:ascii="Calibri" w:hAnsi="Calibri"/>
                <w:bCs w:val="0"/>
                <w:color w:val="FFFFFF"/>
              </w:rPr>
            </w:pPr>
            <w:r w:rsidRPr="001D032A">
              <w:rPr>
                <w:rFonts w:ascii="Calibri" w:hAnsi="Calibri"/>
                <w:bCs w:val="0"/>
                <w:color w:val="FFFFFF"/>
              </w:rPr>
              <w:t>Ukazatel</w:t>
            </w:r>
          </w:p>
          <w:p w:rsidR="00786660" w:rsidRPr="001D032A" w:rsidRDefault="00786660" w:rsidP="003E1B90">
            <w:pPr>
              <w:jc w:val="center"/>
              <w:rPr>
                <w:rFonts w:ascii="Calibri" w:hAnsi="Calibri"/>
                <w:bCs w:val="0"/>
                <w:color w:val="FFFFFF"/>
              </w:rPr>
            </w:pPr>
            <w:r w:rsidRPr="001D032A">
              <w:rPr>
                <w:rFonts w:ascii="Calibri" w:hAnsi="Calibri"/>
                <w:bCs w:val="0"/>
                <w:color w:val="FFFFFF"/>
              </w:rPr>
              <w:t>(v mil. Kč)</w:t>
            </w:r>
          </w:p>
        </w:tc>
        <w:tc>
          <w:tcPr>
            <w:tcW w:w="1039"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2</w:t>
            </w:r>
          </w:p>
        </w:tc>
        <w:tc>
          <w:tcPr>
            <w:tcW w:w="1040"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3</w:t>
            </w:r>
          </w:p>
        </w:tc>
        <w:tc>
          <w:tcPr>
            <w:tcW w:w="1040"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4</w:t>
            </w:r>
          </w:p>
        </w:tc>
        <w:tc>
          <w:tcPr>
            <w:tcW w:w="1040"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5</w:t>
            </w:r>
          </w:p>
        </w:tc>
        <w:tc>
          <w:tcPr>
            <w:tcW w:w="1040"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6</w:t>
            </w:r>
          </w:p>
        </w:tc>
        <w:tc>
          <w:tcPr>
            <w:tcW w:w="1040"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7</w:t>
            </w:r>
            <w:r w:rsidRPr="001D032A">
              <w:rPr>
                <w:rFonts w:ascii="Calibri" w:hAnsi="Calibri"/>
                <w:bCs w:val="0"/>
                <w:color w:val="FFFFFF"/>
              </w:rPr>
              <w:t>*</w:t>
            </w:r>
          </w:p>
        </w:tc>
        <w:tc>
          <w:tcPr>
            <w:tcW w:w="1040" w:type="dxa"/>
            <w:vAlign w:val="center"/>
          </w:tcPr>
          <w:p w:rsidR="00786660" w:rsidRPr="001D032A" w:rsidRDefault="00786660"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8</w:t>
            </w:r>
            <w:r w:rsidRPr="001D032A">
              <w:rPr>
                <w:rFonts w:ascii="Calibri" w:hAnsi="Calibri"/>
                <w:bCs w:val="0"/>
                <w:color w:val="FFFFFF"/>
              </w:rPr>
              <w:t>**</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83"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Náklady na ambulantní péči</w:t>
            </w:r>
          </w:p>
        </w:tc>
        <w:tc>
          <w:tcPr>
            <w:tcW w:w="1039"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2 350</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2 389</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2 627</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2 724</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2 914</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3 052</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3 145</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1783"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Náklady na lůžkovou péči</w:t>
            </w:r>
          </w:p>
        </w:tc>
        <w:tc>
          <w:tcPr>
            <w:tcW w:w="1039"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3 248</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3 568</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4 067</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4 339</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4 556</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4 902</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5 320</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83"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Ostatní náklady</w:t>
            </w:r>
          </w:p>
        </w:tc>
        <w:tc>
          <w:tcPr>
            <w:tcW w:w="1039"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1 712</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1 685</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1 779</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1 831</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1 917</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1 947</w:t>
            </w:r>
          </w:p>
        </w:tc>
        <w:tc>
          <w:tcPr>
            <w:tcW w:w="104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2 008</w:t>
            </w:r>
          </w:p>
        </w:tc>
      </w:tr>
      <w:tr w:rsidR="00616DA5" w:rsidRPr="001D032A" w:rsidTr="00616DA5">
        <w:trPr>
          <w:trHeight w:val="586"/>
        </w:trPr>
        <w:tc>
          <w:tcPr>
            <w:cnfStyle w:val="001000000000" w:firstRow="0" w:lastRow="0" w:firstColumn="1" w:lastColumn="0" w:oddVBand="0" w:evenVBand="0" w:oddHBand="0" w:evenHBand="0" w:firstRowFirstColumn="0" w:firstRowLastColumn="0" w:lastRowFirstColumn="0" w:lastRowLastColumn="0"/>
            <w:tcW w:w="1783" w:type="dxa"/>
            <w:vAlign w:val="center"/>
          </w:tcPr>
          <w:p w:rsidR="00616DA5" w:rsidRPr="001D032A" w:rsidRDefault="00616DA5" w:rsidP="00616DA5">
            <w:pPr>
              <w:rPr>
                <w:rFonts w:ascii="Calibri" w:hAnsi="Calibri"/>
                <w:b w:val="0"/>
                <w:sz w:val="20"/>
                <w:szCs w:val="20"/>
              </w:rPr>
            </w:pPr>
            <w:r w:rsidRPr="001D032A">
              <w:rPr>
                <w:rFonts w:ascii="Calibri" w:hAnsi="Calibri"/>
                <w:b w:val="0"/>
                <w:sz w:val="20"/>
                <w:szCs w:val="20"/>
              </w:rPr>
              <w:t>Celkové náklady</w:t>
            </w:r>
          </w:p>
        </w:tc>
        <w:tc>
          <w:tcPr>
            <w:tcW w:w="1039"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7 310</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7 642</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8 473</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8 894</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9 387</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9 901</w:t>
            </w:r>
          </w:p>
        </w:tc>
        <w:tc>
          <w:tcPr>
            <w:tcW w:w="104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10 473</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786660">
      <w:pPr>
        <w:pStyle w:val="Nadpis3"/>
        <w:jc w:val="center"/>
      </w:pPr>
      <w:bookmarkStart w:id="235" w:name="_Toc491000309"/>
      <w:bookmarkStart w:id="236" w:name="_Toc525944229"/>
      <w:r w:rsidRPr="001D032A">
        <w:t>Zdroj: Ministerstvo zdravotnictví ČR</w:t>
      </w:r>
      <w:bookmarkEnd w:id="235"/>
      <w:bookmarkEnd w:id="236"/>
    </w:p>
    <w:p w:rsidR="00786660" w:rsidRPr="001D032A" w:rsidRDefault="00786660" w:rsidP="00786660"/>
    <w:p w:rsidR="00616DA5" w:rsidRPr="001D032A" w:rsidRDefault="00616DA5" w:rsidP="00616DA5">
      <w:pPr>
        <w:jc w:val="both"/>
        <w:rPr>
          <w:rFonts w:cs="Arial"/>
          <w:sz w:val="24"/>
          <w:szCs w:val="24"/>
        </w:rPr>
      </w:pPr>
      <w:bookmarkStart w:id="237" w:name="_Toc460455326"/>
      <w:r w:rsidRPr="001D032A">
        <w:rPr>
          <w:bCs/>
          <w:sz w:val="24"/>
          <w:szCs w:val="24"/>
        </w:rPr>
        <w:lastRenderedPageBreak/>
        <w:t>Náklady na preventivní zdravotní péči</w:t>
      </w:r>
      <w:r w:rsidRPr="001D032A">
        <w:rPr>
          <w:sz w:val="24"/>
          <w:szCs w:val="24"/>
        </w:rPr>
        <w:t xml:space="preserve"> čerpané z Fprev plánuje RBP ve výši 57,5 mil. Kč, tj. meziroční zvýšení nákladů o 31,9 %, v absolutním vyjádření o 13,9 mil. Kč. Koncepce těchto aktivit je dána především charakterem RBP působící převážně ve vysoce ekologicky zatíženém regionu a potřebou prevence rizik spojených se zaměstnáním klientely především v hornictví. Program prevence RBP pro rok 2018 je členěn do tří skupin. U zdravotně preventivních programů a ostatní činnosti dojde k nárůstu nákladů, u ozdravných pobytů naopak k výraznějšímu poklesu o 20,7 %.</w:t>
      </w:r>
    </w:p>
    <w:p w:rsidR="003E1B90" w:rsidRPr="001D032A" w:rsidRDefault="003E1B90" w:rsidP="00D70EAA">
      <w:pPr>
        <w:pStyle w:val="Nadpis3"/>
      </w:pPr>
      <w:bookmarkStart w:id="238" w:name="_Toc525944230"/>
      <w:r w:rsidRPr="001D032A">
        <w:t>Tabulka 24: Náklady na preventivní zdravotní péči čerpané z fondu prevence</w:t>
      </w:r>
      <w:bookmarkEnd w:id="237"/>
      <w:bookmarkEnd w:id="238"/>
    </w:p>
    <w:tbl>
      <w:tblPr>
        <w:tblStyle w:val="Tabulkasmkou4zvraznn1"/>
        <w:tblW w:w="0" w:type="auto"/>
        <w:tblLayout w:type="fixed"/>
        <w:tblLook w:val="04A0" w:firstRow="1" w:lastRow="0" w:firstColumn="1" w:lastColumn="0" w:noHBand="0" w:noVBand="1"/>
      </w:tblPr>
      <w:tblGrid>
        <w:gridCol w:w="2064"/>
        <w:gridCol w:w="1000"/>
        <w:gridCol w:w="1000"/>
        <w:gridCol w:w="999"/>
        <w:gridCol w:w="1000"/>
        <w:gridCol w:w="999"/>
        <w:gridCol w:w="1000"/>
        <w:gridCol w:w="1000"/>
      </w:tblGrid>
      <w:tr w:rsidR="00D70EAA" w:rsidRPr="001D032A" w:rsidTr="00D70EAA">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064" w:type="dxa"/>
            <w:vAlign w:val="center"/>
          </w:tcPr>
          <w:p w:rsidR="00D70EAA" w:rsidRPr="001D032A" w:rsidRDefault="00D70EAA" w:rsidP="003E1B90">
            <w:pPr>
              <w:jc w:val="center"/>
              <w:rPr>
                <w:rFonts w:ascii="Calibri" w:hAnsi="Calibri"/>
                <w:bCs w:val="0"/>
                <w:color w:val="FFFFFF"/>
              </w:rPr>
            </w:pPr>
            <w:r w:rsidRPr="001D032A">
              <w:rPr>
                <w:rFonts w:ascii="Calibri" w:hAnsi="Calibri"/>
                <w:bCs w:val="0"/>
                <w:color w:val="FFFFFF"/>
              </w:rPr>
              <w:t>Ukazatel</w:t>
            </w:r>
          </w:p>
          <w:p w:rsidR="00D70EAA" w:rsidRPr="001D032A" w:rsidRDefault="00D70EAA" w:rsidP="003E1B90">
            <w:pPr>
              <w:jc w:val="center"/>
              <w:rPr>
                <w:rFonts w:ascii="Calibri" w:hAnsi="Calibri"/>
                <w:bCs w:val="0"/>
                <w:color w:val="FFFFFF"/>
              </w:rPr>
            </w:pPr>
            <w:r w:rsidRPr="001D032A">
              <w:rPr>
                <w:rFonts w:ascii="Calibri" w:hAnsi="Calibri"/>
                <w:bCs w:val="0"/>
                <w:color w:val="FFFFFF"/>
              </w:rPr>
              <w:t>(</w:t>
            </w:r>
            <w:r w:rsidR="008D2F33">
              <w:rPr>
                <w:rFonts w:ascii="Calibri" w:hAnsi="Calibri"/>
                <w:bCs w:val="0"/>
                <w:color w:val="FFFFFF"/>
              </w:rPr>
              <w:t>v mil.</w:t>
            </w:r>
            <w:r w:rsidRPr="001D032A">
              <w:rPr>
                <w:rFonts w:ascii="Calibri" w:hAnsi="Calibri"/>
                <w:bCs w:val="0"/>
                <w:color w:val="FFFFFF"/>
              </w:rPr>
              <w:t xml:space="preserve"> Kč)</w:t>
            </w:r>
          </w:p>
        </w:tc>
        <w:tc>
          <w:tcPr>
            <w:tcW w:w="1000"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2</w:t>
            </w:r>
          </w:p>
        </w:tc>
        <w:tc>
          <w:tcPr>
            <w:tcW w:w="1000"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3</w:t>
            </w:r>
          </w:p>
        </w:tc>
        <w:tc>
          <w:tcPr>
            <w:tcW w:w="999"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4</w:t>
            </w:r>
          </w:p>
        </w:tc>
        <w:tc>
          <w:tcPr>
            <w:tcW w:w="1000"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5</w:t>
            </w:r>
          </w:p>
        </w:tc>
        <w:tc>
          <w:tcPr>
            <w:tcW w:w="999"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6</w:t>
            </w:r>
          </w:p>
        </w:tc>
        <w:tc>
          <w:tcPr>
            <w:tcW w:w="1000"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7</w:t>
            </w:r>
            <w:r w:rsidRPr="001D032A">
              <w:rPr>
                <w:rFonts w:ascii="Calibri" w:hAnsi="Calibri"/>
                <w:bCs w:val="0"/>
                <w:color w:val="FFFFFF"/>
              </w:rPr>
              <w:t>*</w:t>
            </w:r>
          </w:p>
        </w:tc>
        <w:tc>
          <w:tcPr>
            <w:tcW w:w="1000" w:type="dxa"/>
            <w:vAlign w:val="center"/>
          </w:tcPr>
          <w:p w:rsidR="00D70EAA" w:rsidRPr="001D032A" w:rsidRDefault="00D70EAA" w:rsidP="003E1B9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FFFFFF"/>
              </w:rPr>
            </w:pPr>
            <w:r w:rsidRPr="001D032A">
              <w:rPr>
                <w:rFonts w:ascii="Calibri" w:hAnsi="Calibri"/>
                <w:bCs w:val="0"/>
                <w:color w:val="FFFFFF"/>
              </w:rPr>
              <w:t>201</w:t>
            </w:r>
            <w:r w:rsidR="00616DA5" w:rsidRPr="001D032A">
              <w:rPr>
                <w:rFonts w:ascii="Calibri" w:hAnsi="Calibri"/>
                <w:bCs w:val="0"/>
                <w:color w:val="FFFFFF"/>
              </w:rPr>
              <w:t>8</w:t>
            </w:r>
            <w:r w:rsidRPr="001D032A">
              <w:rPr>
                <w:rFonts w:ascii="Calibri" w:hAnsi="Calibri"/>
                <w:bCs w:val="0"/>
                <w:color w:val="FFFFFF"/>
              </w:rPr>
              <w:t>**</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064" w:type="dxa"/>
            <w:vAlign w:val="center"/>
          </w:tcPr>
          <w:p w:rsidR="00616DA5" w:rsidRPr="001D032A" w:rsidRDefault="00616DA5" w:rsidP="00616DA5">
            <w:pPr>
              <w:rPr>
                <w:b w:val="0"/>
                <w:bCs w:val="0"/>
                <w:sz w:val="20"/>
                <w:szCs w:val="20"/>
              </w:rPr>
            </w:pPr>
            <w:r w:rsidRPr="001D032A">
              <w:rPr>
                <w:b w:val="0"/>
                <w:bCs w:val="0"/>
                <w:sz w:val="20"/>
                <w:szCs w:val="20"/>
              </w:rPr>
              <w:t>Náklady na zdravotní programy</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38</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48</w:t>
            </w:r>
          </w:p>
        </w:tc>
        <w:tc>
          <w:tcPr>
            <w:tcW w:w="999"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41</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33</w:t>
            </w:r>
          </w:p>
        </w:tc>
        <w:tc>
          <w:tcPr>
            <w:tcW w:w="999"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31</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28</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34</w:t>
            </w:r>
          </w:p>
        </w:tc>
      </w:tr>
      <w:tr w:rsidR="00616DA5" w:rsidRPr="001D032A" w:rsidTr="00616DA5">
        <w:trPr>
          <w:trHeight w:val="732"/>
        </w:trPr>
        <w:tc>
          <w:tcPr>
            <w:cnfStyle w:val="001000000000" w:firstRow="0" w:lastRow="0" w:firstColumn="1" w:lastColumn="0" w:oddVBand="0" w:evenVBand="0" w:oddHBand="0" w:evenHBand="0" w:firstRowFirstColumn="0" w:firstRowLastColumn="0" w:lastRowFirstColumn="0" w:lastRowLastColumn="0"/>
            <w:tcW w:w="2064" w:type="dxa"/>
            <w:vAlign w:val="center"/>
          </w:tcPr>
          <w:p w:rsidR="00616DA5" w:rsidRPr="001D032A" w:rsidRDefault="00616DA5" w:rsidP="00616DA5">
            <w:pPr>
              <w:rPr>
                <w:b w:val="0"/>
                <w:bCs w:val="0"/>
                <w:sz w:val="20"/>
                <w:szCs w:val="20"/>
              </w:rPr>
            </w:pPr>
            <w:r w:rsidRPr="001D032A">
              <w:rPr>
                <w:b w:val="0"/>
                <w:bCs w:val="0"/>
                <w:sz w:val="20"/>
                <w:szCs w:val="20"/>
              </w:rPr>
              <w:t>Náklady na ozdravné pobyty</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8</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9</w:t>
            </w:r>
          </w:p>
        </w:tc>
        <w:tc>
          <w:tcPr>
            <w:tcW w:w="999"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9</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5</w:t>
            </w:r>
          </w:p>
        </w:tc>
        <w:tc>
          <w:tcPr>
            <w:tcW w:w="999"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4</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3</w:t>
            </w:r>
          </w:p>
        </w:tc>
      </w:tr>
      <w:tr w:rsidR="00616DA5" w:rsidRPr="001D032A" w:rsidTr="00616DA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064" w:type="dxa"/>
            <w:vAlign w:val="center"/>
          </w:tcPr>
          <w:p w:rsidR="00616DA5" w:rsidRPr="001D032A" w:rsidRDefault="00616DA5" w:rsidP="00616DA5">
            <w:pPr>
              <w:rPr>
                <w:b w:val="0"/>
                <w:bCs w:val="0"/>
                <w:sz w:val="20"/>
                <w:szCs w:val="20"/>
              </w:rPr>
            </w:pPr>
            <w:r w:rsidRPr="001D032A">
              <w:rPr>
                <w:b w:val="0"/>
                <w:bCs w:val="0"/>
                <w:sz w:val="20"/>
                <w:szCs w:val="20"/>
              </w:rPr>
              <w:t>Ostatní činnosti</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20</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27</w:t>
            </w:r>
          </w:p>
        </w:tc>
        <w:tc>
          <w:tcPr>
            <w:tcW w:w="999"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19</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12</w:t>
            </w:r>
          </w:p>
        </w:tc>
        <w:tc>
          <w:tcPr>
            <w:tcW w:w="999"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9</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12</w:t>
            </w:r>
          </w:p>
        </w:tc>
        <w:tc>
          <w:tcPr>
            <w:tcW w:w="1000" w:type="dxa"/>
            <w:vAlign w:val="center"/>
          </w:tcPr>
          <w:p w:rsidR="00616DA5" w:rsidRPr="001D032A" w:rsidRDefault="00616DA5" w:rsidP="00616DA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1"/>
                <w:szCs w:val="21"/>
              </w:rPr>
            </w:pPr>
            <w:r w:rsidRPr="001D032A">
              <w:rPr>
                <w:rFonts w:ascii="Calibri" w:hAnsi="Calibri"/>
                <w:color w:val="000000"/>
                <w:sz w:val="21"/>
                <w:szCs w:val="21"/>
              </w:rPr>
              <w:t>20</w:t>
            </w:r>
          </w:p>
        </w:tc>
      </w:tr>
      <w:tr w:rsidR="00616DA5" w:rsidRPr="001D032A" w:rsidTr="00616DA5">
        <w:trPr>
          <w:trHeight w:val="732"/>
        </w:trPr>
        <w:tc>
          <w:tcPr>
            <w:cnfStyle w:val="001000000000" w:firstRow="0" w:lastRow="0" w:firstColumn="1" w:lastColumn="0" w:oddVBand="0" w:evenVBand="0" w:oddHBand="0" w:evenHBand="0" w:firstRowFirstColumn="0" w:firstRowLastColumn="0" w:lastRowFirstColumn="0" w:lastRowLastColumn="0"/>
            <w:tcW w:w="2064" w:type="dxa"/>
            <w:vAlign w:val="center"/>
          </w:tcPr>
          <w:p w:rsidR="00616DA5" w:rsidRPr="001D032A" w:rsidRDefault="00616DA5" w:rsidP="00616DA5">
            <w:pPr>
              <w:rPr>
                <w:b w:val="0"/>
                <w:bCs w:val="0"/>
                <w:sz w:val="20"/>
                <w:szCs w:val="20"/>
              </w:rPr>
            </w:pPr>
            <w:r w:rsidRPr="001D032A">
              <w:rPr>
                <w:b w:val="0"/>
                <w:bCs w:val="0"/>
                <w:sz w:val="20"/>
                <w:szCs w:val="20"/>
              </w:rPr>
              <w:t>Celkové náklady na preventivní zdravotní péči</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66</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83</w:t>
            </w:r>
          </w:p>
        </w:tc>
        <w:tc>
          <w:tcPr>
            <w:tcW w:w="999"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69</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50</w:t>
            </w:r>
          </w:p>
        </w:tc>
        <w:tc>
          <w:tcPr>
            <w:tcW w:w="999"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44</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44</w:t>
            </w:r>
          </w:p>
        </w:tc>
        <w:tc>
          <w:tcPr>
            <w:tcW w:w="1000" w:type="dxa"/>
            <w:vAlign w:val="center"/>
          </w:tcPr>
          <w:p w:rsidR="00616DA5" w:rsidRPr="001D032A" w:rsidRDefault="00616DA5" w:rsidP="00616DA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1"/>
                <w:szCs w:val="21"/>
              </w:rPr>
            </w:pPr>
            <w:r w:rsidRPr="001D032A">
              <w:rPr>
                <w:rFonts w:ascii="Calibri" w:hAnsi="Calibri"/>
                <w:b/>
                <w:bCs/>
                <w:color w:val="000000"/>
                <w:sz w:val="21"/>
                <w:szCs w:val="21"/>
              </w:rPr>
              <w:t>57</w:t>
            </w:r>
          </w:p>
        </w:tc>
      </w:tr>
    </w:tbl>
    <w:p w:rsidR="003E1B90" w:rsidRPr="001D032A" w:rsidRDefault="003E1B90" w:rsidP="003E1B90">
      <w:pPr>
        <w:pStyle w:val="Bezmezer"/>
        <w:rPr>
          <w:sz w:val="20"/>
          <w:szCs w:val="20"/>
        </w:rPr>
      </w:pPr>
      <w:r w:rsidRPr="001D032A">
        <w:rPr>
          <w:sz w:val="20"/>
          <w:szCs w:val="20"/>
        </w:rPr>
        <w:t>* očekávaná skutečnost</w:t>
      </w:r>
    </w:p>
    <w:p w:rsidR="003E1B90" w:rsidRPr="001D032A" w:rsidRDefault="003E1B90" w:rsidP="003E1B90">
      <w:pPr>
        <w:pStyle w:val="Bezmezer"/>
        <w:rPr>
          <w:sz w:val="20"/>
          <w:szCs w:val="20"/>
        </w:rPr>
      </w:pPr>
      <w:r w:rsidRPr="001D032A">
        <w:rPr>
          <w:sz w:val="20"/>
          <w:szCs w:val="20"/>
        </w:rPr>
        <w:t xml:space="preserve">** převzato ze zdravotních pojistných plánů </w:t>
      </w:r>
    </w:p>
    <w:p w:rsidR="003E1B90" w:rsidRPr="001D032A" w:rsidRDefault="003E1B90" w:rsidP="00D70EAA">
      <w:pPr>
        <w:pStyle w:val="Nadpis3"/>
        <w:jc w:val="center"/>
      </w:pPr>
      <w:bookmarkStart w:id="239" w:name="_Toc491000311"/>
      <w:bookmarkStart w:id="240" w:name="_Toc525944231"/>
      <w:r w:rsidRPr="001D032A">
        <w:t>Zdroj: Ministerstvo zdravotnictví ČR</w:t>
      </w:r>
      <w:bookmarkEnd w:id="239"/>
      <w:bookmarkEnd w:id="240"/>
    </w:p>
    <w:p w:rsidR="00D70EAA" w:rsidRPr="001D032A" w:rsidRDefault="00D70EAA" w:rsidP="00D70EAA"/>
    <w:p w:rsidR="003E1B90" w:rsidRPr="001D032A" w:rsidRDefault="003E1B90" w:rsidP="003E1B90">
      <w:pPr>
        <w:pStyle w:val="Nadpis3"/>
      </w:pPr>
      <w:bookmarkStart w:id="241" w:name="_Toc460456867"/>
      <w:bookmarkStart w:id="242" w:name="_Toc491000312"/>
      <w:bookmarkStart w:id="243" w:name="_Toc525944232"/>
      <w:r w:rsidRPr="001D032A">
        <w:t>Závěr</w:t>
      </w:r>
      <w:bookmarkEnd w:id="241"/>
      <w:bookmarkEnd w:id="242"/>
      <w:bookmarkEnd w:id="243"/>
    </w:p>
    <w:p w:rsidR="00616DA5" w:rsidRPr="001D032A" w:rsidRDefault="00616DA5" w:rsidP="00616DA5">
      <w:pPr>
        <w:jc w:val="both"/>
        <w:rPr>
          <w:sz w:val="24"/>
          <w:szCs w:val="24"/>
        </w:rPr>
      </w:pPr>
      <w:bookmarkStart w:id="244" w:name="_Toc460456868"/>
      <w:r w:rsidRPr="001D032A">
        <w:rPr>
          <w:sz w:val="24"/>
          <w:szCs w:val="24"/>
        </w:rPr>
        <w:t>Ministerstvo zdravotnictví ověřilo soulad plánovaných nákladů na jednotlivé segmenty s modelovaným dopadem úhradové vyhlášky na rok 2018. V případě RBP lze konstatovat, že struktura nákladů dle segmentů umožňuje naplnění cílů úhradové vyhlášky pro rok 2018 v případě jejího dodržení. Na příjmové i nákladové stránce se ZPP shoduje s predikcemi MZ. RBP bude v roce 2018 hospodařit vyrovnaně.</w:t>
      </w:r>
    </w:p>
    <w:p w:rsidR="008D2F33" w:rsidRDefault="008D2F33">
      <w:pPr>
        <w:rPr>
          <w:rFonts w:asciiTheme="majorHAnsi" w:eastAsiaTheme="majorEastAsia" w:hAnsiTheme="majorHAnsi" w:cstheme="majorBidi"/>
          <w:color w:val="7B230B" w:themeColor="accent1" w:themeShade="BF"/>
          <w:sz w:val="32"/>
          <w:szCs w:val="32"/>
        </w:rPr>
      </w:pPr>
      <w:r>
        <w:br w:type="page"/>
      </w:r>
    </w:p>
    <w:p w:rsidR="003E1B90" w:rsidRPr="00051CD2" w:rsidRDefault="003E1B90" w:rsidP="00D70EAA">
      <w:pPr>
        <w:pStyle w:val="Nadpis1"/>
        <w:rPr>
          <w:b/>
        </w:rPr>
      </w:pPr>
      <w:bookmarkStart w:id="245" w:name="_Toc525944508"/>
      <w:r w:rsidRPr="00051CD2">
        <w:rPr>
          <w:b/>
        </w:rPr>
        <w:lastRenderedPageBreak/>
        <w:t>K obsahu dokumentu</w:t>
      </w:r>
      <w:bookmarkEnd w:id="244"/>
      <w:bookmarkEnd w:id="245"/>
    </w:p>
    <w:p w:rsidR="003E1B90" w:rsidRPr="001D032A" w:rsidRDefault="003E1B90" w:rsidP="00D70EAA">
      <w:pPr>
        <w:pStyle w:val="Nadpis2"/>
      </w:pPr>
      <w:bookmarkStart w:id="246" w:name="_Toc460456869"/>
      <w:bookmarkStart w:id="247" w:name="_Toc525944509"/>
      <w:r w:rsidRPr="001D032A">
        <w:t>Použité zkratky</w:t>
      </w:r>
      <w:bookmarkEnd w:id="246"/>
      <w:bookmarkEnd w:id="247"/>
    </w:p>
    <w:p w:rsidR="003E1B90" w:rsidRPr="001D032A" w:rsidRDefault="003E1B90" w:rsidP="003E1B90">
      <w:pPr>
        <w:pStyle w:val="TEXT"/>
        <w:numPr>
          <w:ilvl w:val="0"/>
          <w:numId w:val="35"/>
        </w:numPr>
        <w:rPr>
          <w:lang w:val="cs-CZ"/>
        </w:rPr>
      </w:pPr>
      <w:r w:rsidRPr="001D032A">
        <w:rPr>
          <w:lang w:val="cs-CZ"/>
        </w:rPr>
        <w:t xml:space="preserve">AČR: </w:t>
      </w:r>
      <w:r w:rsidRPr="001D032A">
        <w:rPr>
          <w:lang w:val="cs-CZ"/>
        </w:rPr>
        <w:tab/>
      </w:r>
      <w:r w:rsidRPr="001D032A">
        <w:rPr>
          <w:lang w:val="cs-CZ"/>
        </w:rPr>
        <w:tab/>
        <w:t>Armáda České republiky</w:t>
      </w:r>
    </w:p>
    <w:p w:rsidR="003E1B90" w:rsidRPr="001D032A" w:rsidRDefault="003E1B90" w:rsidP="003E1B90">
      <w:pPr>
        <w:pStyle w:val="TEXT"/>
        <w:numPr>
          <w:ilvl w:val="0"/>
          <w:numId w:val="35"/>
        </w:numPr>
        <w:rPr>
          <w:lang w:val="cs-CZ"/>
        </w:rPr>
      </w:pPr>
      <w:r w:rsidRPr="001D032A">
        <w:rPr>
          <w:lang w:val="cs-CZ"/>
        </w:rPr>
        <w:t xml:space="preserve">AS OZP: </w:t>
      </w:r>
      <w:r w:rsidRPr="001D032A">
        <w:rPr>
          <w:lang w:val="cs-CZ"/>
        </w:rPr>
        <w:tab/>
        <w:t>Asistenční služba OZP</w:t>
      </w:r>
    </w:p>
    <w:p w:rsidR="003E1B90" w:rsidRPr="001D032A" w:rsidRDefault="003E1B90" w:rsidP="003E1B90">
      <w:pPr>
        <w:pStyle w:val="TEXT"/>
        <w:numPr>
          <w:ilvl w:val="0"/>
          <w:numId w:val="35"/>
        </w:numPr>
        <w:rPr>
          <w:lang w:val="cs-CZ"/>
        </w:rPr>
      </w:pPr>
      <w:r w:rsidRPr="001D032A">
        <w:rPr>
          <w:lang w:val="cs-CZ"/>
        </w:rPr>
        <w:t xml:space="preserve">BÚ: </w:t>
      </w:r>
      <w:r w:rsidRPr="001D032A">
        <w:rPr>
          <w:lang w:val="cs-CZ"/>
        </w:rPr>
        <w:tab/>
      </w:r>
      <w:r w:rsidRPr="001D032A">
        <w:rPr>
          <w:lang w:val="cs-CZ"/>
        </w:rPr>
        <w:tab/>
        <w:t>Bankovní účet</w:t>
      </w:r>
    </w:p>
    <w:p w:rsidR="003E1B90" w:rsidRPr="001D032A" w:rsidRDefault="003E1B90" w:rsidP="003E1B90">
      <w:pPr>
        <w:pStyle w:val="TEXT"/>
        <w:numPr>
          <w:ilvl w:val="0"/>
          <w:numId w:val="35"/>
        </w:numPr>
        <w:rPr>
          <w:lang w:val="cs-CZ"/>
        </w:rPr>
      </w:pPr>
      <w:r w:rsidRPr="001D032A">
        <w:rPr>
          <w:lang w:val="cs-CZ"/>
        </w:rPr>
        <w:t xml:space="preserve">CMÚ: </w:t>
      </w:r>
      <w:r w:rsidRPr="001D032A">
        <w:rPr>
          <w:lang w:val="cs-CZ"/>
        </w:rPr>
        <w:tab/>
      </w:r>
      <w:r w:rsidRPr="001D032A">
        <w:rPr>
          <w:lang w:val="cs-CZ"/>
        </w:rPr>
        <w:tab/>
        <w:t>Centrum mezistátních úhrad</w:t>
      </w:r>
    </w:p>
    <w:p w:rsidR="003E1B90" w:rsidRPr="001D032A" w:rsidRDefault="003E1B90" w:rsidP="003E1B90">
      <w:pPr>
        <w:pStyle w:val="TEXT"/>
        <w:numPr>
          <w:ilvl w:val="0"/>
          <w:numId w:val="35"/>
        </w:numPr>
        <w:rPr>
          <w:lang w:val="cs-CZ"/>
        </w:rPr>
      </w:pPr>
      <w:r w:rsidRPr="001D032A">
        <w:rPr>
          <w:lang w:val="cs-CZ"/>
        </w:rPr>
        <w:t xml:space="preserve">CP: </w:t>
      </w:r>
      <w:r w:rsidRPr="001D032A">
        <w:rPr>
          <w:lang w:val="cs-CZ"/>
        </w:rPr>
        <w:tab/>
      </w:r>
      <w:r w:rsidRPr="001D032A">
        <w:rPr>
          <w:lang w:val="cs-CZ"/>
        </w:rPr>
        <w:tab/>
        <w:t>Cenné papíry</w:t>
      </w:r>
    </w:p>
    <w:p w:rsidR="003E1B90" w:rsidRPr="001D032A" w:rsidRDefault="003E1B90" w:rsidP="003E1B90">
      <w:pPr>
        <w:pStyle w:val="TEXT"/>
        <w:numPr>
          <w:ilvl w:val="0"/>
          <w:numId w:val="35"/>
        </w:numPr>
        <w:rPr>
          <w:lang w:val="cs-CZ"/>
        </w:rPr>
      </w:pPr>
      <w:r w:rsidRPr="001D032A">
        <w:rPr>
          <w:lang w:val="cs-CZ"/>
        </w:rPr>
        <w:t xml:space="preserve">CSÚIS: </w:t>
      </w:r>
      <w:r w:rsidRPr="001D032A">
        <w:rPr>
          <w:lang w:val="cs-CZ"/>
        </w:rPr>
        <w:tab/>
      </w:r>
      <w:r w:rsidRPr="001D032A">
        <w:rPr>
          <w:lang w:val="cs-CZ"/>
        </w:rPr>
        <w:tab/>
        <w:t>Centrální systém účetních informací státu</w:t>
      </w:r>
    </w:p>
    <w:p w:rsidR="003E1B90" w:rsidRPr="001D032A" w:rsidRDefault="003E1B90" w:rsidP="003E1B90">
      <w:pPr>
        <w:pStyle w:val="TEXT"/>
        <w:numPr>
          <w:ilvl w:val="0"/>
          <w:numId w:val="35"/>
        </w:numPr>
        <w:rPr>
          <w:lang w:val="cs-CZ"/>
        </w:rPr>
      </w:pPr>
      <w:r w:rsidRPr="001D032A">
        <w:rPr>
          <w:lang w:val="cs-CZ"/>
        </w:rPr>
        <w:t xml:space="preserve">ČLK: </w:t>
      </w:r>
      <w:r w:rsidRPr="001D032A">
        <w:rPr>
          <w:lang w:val="cs-CZ"/>
        </w:rPr>
        <w:tab/>
      </w:r>
      <w:r w:rsidRPr="001D032A">
        <w:rPr>
          <w:lang w:val="cs-CZ"/>
        </w:rPr>
        <w:tab/>
        <w:t>Česká lékařská komora</w:t>
      </w:r>
    </w:p>
    <w:p w:rsidR="003E1B90" w:rsidRPr="001D032A" w:rsidRDefault="003E1B90" w:rsidP="003E1B90">
      <w:pPr>
        <w:pStyle w:val="TEXT"/>
        <w:numPr>
          <w:ilvl w:val="0"/>
          <w:numId w:val="35"/>
        </w:numPr>
        <w:rPr>
          <w:lang w:val="cs-CZ"/>
        </w:rPr>
      </w:pPr>
      <w:r w:rsidRPr="001D032A">
        <w:rPr>
          <w:lang w:val="cs-CZ"/>
        </w:rPr>
        <w:t xml:space="preserve">ČNB: </w:t>
      </w:r>
      <w:r w:rsidRPr="001D032A">
        <w:rPr>
          <w:lang w:val="cs-CZ"/>
        </w:rPr>
        <w:tab/>
      </w:r>
      <w:r w:rsidRPr="001D032A">
        <w:rPr>
          <w:lang w:val="cs-CZ"/>
        </w:rPr>
        <w:tab/>
        <w:t xml:space="preserve">Česká národní banka </w:t>
      </w:r>
    </w:p>
    <w:p w:rsidR="003E1B90" w:rsidRPr="001D032A" w:rsidRDefault="003E1B90" w:rsidP="003E1B90">
      <w:pPr>
        <w:pStyle w:val="TEXT"/>
        <w:numPr>
          <w:ilvl w:val="0"/>
          <w:numId w:val="35"/>
        </w:numPr>
        <w:rPr>
          <w:lang w:val="cs-CZ"/>
        </w:rPr>
      </w:pPr>
      <w:r w:rsidRPr="001D032A">
        <w:rPr>
          <w:lang w:val="cs-CZ"/>
        </w:rPr>
        <w:t xml:space="preserve">ČPZP: </w:t>
      </w:r>
      <w:r w:rsidRPr="001D032A">
        <w:rPr>
          <w:lang w:val="cs-CZ"/>
        </w:rPr>
        <w:tab/>
      </w:r>
      <w:r w:rsidRPr="001D032A">
        <w:rPr>
          <w:lang w:val="cs-CZ"/>
        </w:rPr>
        <w:tab/>
        <w:t>Česká průmyslová zdravotní pojišťovna</w:t>
      </w:r>
    </w:p>
    <w:p w:rsidR="003E1B90" w:rsidRPr="001D032A" w:rsidRDefault="003E1B90" w:rsidP="003E1B90">
      <w:pPr>
        <w:pStyle w:val="TEXT"/>
        <w:numPr>
          <w:ilvl w:val="0"/>
          <w:numId w:val="35"/>
        </w:numPr>
        <w:rPr>
          <w:lang w:val="cs-CZ"/>
        </w:rPr>
      </w:pPr>
      <w:r w:rsidRPr="001D032A">
        <w:rPr>
          <w:lang w:val="cs-CZ"/>
        </w:rPr>
        <w:t xml:space="preserve">ČR: </w:t>
      </w:r>
      <w:r w:rsidRPr="001D032A">
        <w:rPr>
          <w:lang w:val="cs-CZ"/>
        </w:rPr>
        <w:tab/>
      </w:r>
      <w:r w:rsidRPr="001D032A">
        <w:rPr>
          <w:lang w:val="cs-CZ"/>
        </w:rPr>
        <w:tab/>
        <w:t>Česká republika</w:t>
      </w:r>
    </w:p>
    <w:p w:rsidR="003E1B90" w:rsidRPr="001D032A" w:rsidRDefault="003E1B90" w:rsidP="003E1B90">
      <w:pPr>
        <w:pStyle w:val="TEXT"/>
        <w:numPr>
          <w:ilvl w:val="0"/>
          <w:numId w:val="35"/>
        </w:numPr>
        <w:rPr>
          <w:lang w:val="cs-CZ"/>
        </w:rPr>
      </w:pPr>
      <w:r w:rsidRPr="001D032A">
        <w:rPr>
          <w:lang w:val="cs-CZ"/>
        </w:rPr>
        <w:t xml:space="preserve">ČSÚ: </w:t>
      </w:r>
      <w:r w:rsidRPr="001D032A">
        <w:rPr>
          <w:lang w:val="cs-CZ"/>
        </w:rPr>
        <w:tab/>
      </w:r>
      <w:r w:rsidRPr="001D032A">
        <w:rPr>
          <w:lang w:val="cs-CZ"/>
        </w:rPr>
        <w:tab/>
        <w:t>Český statistický úřad</w:t>
      </w:r>
    </w:p>
    <w:p w:rsidR="003E1B90" w:rsidRPr="001D032A" w:rsidRDefault="003E1B90" w:rsidP="003E1B90">
      <w:pPr>
        <w:pStyle w:val="TEXT"/>
        <w:numPr>
          <w:ilvl w:val="0"/>
          <w:numId w:val="35"/>
        </w:numPr>
        <w:rPr>
          <w:lang w:val="cs-CZ"/>
        </w:rPr>
      </w:pPr>
      <w:r w:rsidRPr="001D032A">
        <w:rPr>
          <w:lang w:val="cs-CZ"/>
        </w:rPr>
        <w:t xml:space="preserve">DPH: </w:t>
      </w:r>
      <w:r w:rsidRPr="001D032A">
        <w:rPr>
          <w:lang w:val="cs-CZ"/>
        </w:rPr>
        <w:tab/>
      </w:r>
      <w:r w:rsidRPr="001D032A">
        <w:rPr>
          <w:lang w:val="cs-CZ"/>
        </w:rPr>
        <w:tab/>
        <w:t>Daň z přidané hodnoty</w:t>
      </w:r>
    </w:p>
    <w:p w:rsidR="003E1B90" w:rsidRPr="001D032A" w:rsidRDefault="003E1B90" w:rsidP="003E1B90">
      <w:pPr>
        <w:pStyle w:val="TEXT"/>
        <w:numPr>
          <w:ilvl w:val="0"/>
          <w:numId w:val="35"/>
        </w:numPr>
        <w:rPr>
          <w:lang w:val="cs-CZ"/>
        </w:rPr>
      </w:pPr>
      <w:r w:rsidRPr="001D032A">
        <w:rPr>
          <w:lang w:val="cs-CZ"/>
        </w:rPr>
        <w:t xml:space="preserve">DR: </w:t>
      </w:r>
      <w:r w:rsidRPr="001D032A">
        <w:rPr>
          <w:lang w:val="cs-CZ"/>
        </w:rPr>
        <w:tab/>
      </w:r>
      <w:r w:rsidRPr="001D032A">
        <w:rPr>
          <w:lang w:val="cs-CZ"/>
        </w:rPr>
        <w:tab/>
        <w:t>Dozorčí rada</w:t>
      </w:r>
    </w:p>
    <w:p w:rsidR="003E1B90" w:rsidRPr="001D032A" w:rsidRDefault="003E1B90" w:rsidP="003E1B90">
      <w:pPr>
        <w:pStyle w:val="TEXT"/>
        <w:numPr>
          <w:ilvl w:val="0"/>
          <w:numId w:val="35"/>
        </w:numPr>
        <w:rPr>
          <w:lang w:val="cs-CZ"/>
        </w:rPr>
      </w:pPr>
      <w:r w:rsidRPr="001D032A">
        <w:rPr>
          <w:lang w:val="cs-CZ"/>
        </w:rPr>
        <w:t xml:space="preserve">DRG: </w:t>
      </w:r>
      <w:r w:rsidRPr="001D032A">
        <w:rPr>
          <w:lang w:val="cs-CZ"/>
        </w:rPr>
        <w:tab/>
      </w:r>
      <w:r w:rsidRPr="001D032A">
        <w:rPr>
          <w:lang w:val="cs-CZ"/>
        </w:rPr>
        <w:tab/>
        <w:t>Platba za diagnostické skupiny (Diagnosis Related Group)</w:t>
      </w:r>
    </w:p>
    <w:p w:rsidR="003E1B90" w:rsidRPr="001D032A" w:rsidRDefault="003E1B90" w:rsidP="003E1B90">
      <w:pPr>
        <w:pStyle w:val="TEXT"/>
        <w:numPr>
          <w:ilvl w:val="0"/>
          <w:numId w:val="35"/>
        </w:numPr>
        <w:rPr>
          <w:lang w:val="cs-CZ"/>
        </w:rPr>
      </w:pPr>
      <w:r w:rsidRPr="001D032A">
        <w:rPr>
          <w:lang w:val="cs-CZ"/>
        </w:rPr>
        <w:t xml:space="preserve">EU: </w:t>
      </w:r>
      <w:r w:rsidRPr="001D032A">
        <w:rPr>
          <w:lang w:val="cs-CZ"/>
        </w:rPr>
        <w:tab/>
      </w:r>
      <w:r w:rsidRPr="001D032A">
        <w:rPr>
          <w:lang w:val="cs-CZ"/>
        </w:rPr>
        <w:tab/>
        <w:t xml:space="preserve">Evropská unie </w:t>
      </w:r>
    </w:p>
    <w:p w:rsidR="003E1B90" w:rsidRPr="001D032A" w:rsidRDefault="003E1B90" w:rsidP="003E1B90">
      <w:pPr>
        <w:pStyle w:val="TEXT"/>
        <w:numPr>
          <w:ilvl w:val="0"/>
          <w:numId w:val="35"/>
        </w:numPr>
        <w:rPr>
          <w:lang w:val="cs-CZ"/>
        </w:rPr>
      </w:pPr>
      <w:r w:rsidRPr="001D032A">
        <w:rPr>
          <w:lang w:val="cs-CZ"/>
        </w:rPr>
        <w:t xml:space="preserve">FPÚPP: </w:t>
      </w:r>
      <w:r w:rsidRPr="001D032A">
        <w:rPr>
          <w:lang w:val="cs-CZ"/>
        </w:rPr>
        <w:tab/>
        <w:t>Fond pro úhradu preventivní péče (pouze VoZP ČR)</w:t>
      </w:r>
    </w:p>
    <w:p w:rsidR="003E1B90" w:rsidRPr="001D032A" w:rsidRDefault="003E1B90" w:rsidP="003E1B90">
      <w:pPr>
        <w:pStyle w:val="TEXT"/>
        <w:numPr>
          <w:ilvl w:val="0"/>
          <w:numId w:val="35"/>
        </w:numPr>
        <w:rPr>
          <w:lang w:val="cs-CZ"/>
        </w:rPr>
      </w:pPr>
      <w:r w:rsidRPr="001D032A">
        <w:rPr>
          <w:lang w:val="cs-CZ"/>
        </w:rPr>
        <w:t xml:space="preserve">FZÚZP: </w:t>
      </w:r>
      <w:r w:rsidRPr="001D032A">
        <w:rPr>
          <w:lang w:val="cs-CZ"/>
        </w:rPr>
        <w:tab/>
        <w:t>Fond zprostředkování úhrady zdravotní péče (pouze VoZP ČR)</w:t>
      </w:r>
    </w:p>
    <w:p w:rsidR="003E1B90" w:rsidRPr="001D032A" w:rsidRDefault="003E1B90" w:rsidP="003E1B90">
      <w:pPr>
        <w:pStyle w:val="TEXT"/>
        <w:numPr>
          <w:ilvl w:val="0"/>
          <w:numId w:val="35"/>
        </w:numPr>
        <w:rPr>
          <w:lang w:val="cs-CZ"/>
        </w:rPr>
      </w:pPr>
      <w:r w:rsidRPr="001D032A">
        <w:rPr>
          <w:lang w:val="cs-CZ"/>
        </w:rPr>
        <w:t xml:space="preserve">Fprev: </w:t>
      </w:r>
      <w:r w:rsidRPr="001D032A">
        <w:rPr>
          <w:lang w:val="cs-CZ"/>
        </w:rPr>
        <w:tab/>
      </w:r>
      <w:r w:rsidRPr="001D032A">
        <w:rPr>
          <w:lang w:val="cs-CZ"/>
        </w:rPr>
        <w:tab/>
        <w:t>Fond prevence</w:t>
      </w:r>
    </w:p>
    <w:p w:rsidR="003E1B90" w:rsidRPr="001D032A" w:rsidRDefault="003E1B90" w:rsidP="003E1B90">
      <w:pPr>
        <w:pStyle w:val="TEXT"/>
        <w:numPr>
          <w:ilvl w:val="0"/>
          <w:numId w:val="35"/>
        </w:numPr>
        <w:rPr>
          <w:lang w:val="cs-CZ"/>
        </w:rPr>
      </w:pPr>
      <w:r w:rsidRPr="001D032A">
        <w:rPr>
          <w:lang w:val="cs-CZ"/>
        </w:rPr>
        <w:t xml:space="preserve">FRM: </w:t>
      </w:r>
      <w:r w:rsidRPr="001D032A">
        <w:rPr>
          <w:lang w:val="cs-CZ"/>
        </w:rPr>
        <w:tab/>
      </w:r>
      <w:r w:rsidRPr="001D032A">
        <w:rPr>
          <w:lang w:val="cs-CZ"/>
        </w:rPr>
        <w:tab/>
        <w:t>Fond reprodukce majetku</w:t>
      </w:r>
    </w:p>
    <w:p w:rsidR="003E1B90" w:rsidRPr="001D032A" w:rsidRDefault="003E1B90" w:rsidP="003E1B90">
      <w:pPr>
        <w:pStyle w:val="TEXT"/>
        <w:numPr>
          <w:ilvl w:val="0"/>
          <w:numId w:val="35"/>
        </w:numPr>
        <w:rPr>
          <w:lang w:val="cs-CZ"/>
        </w:rPr>
      </w:pPr>
      <w:r w:rsidRPr="001D032A">
        <w:rPr>
          <w:lang w:val="cs-CZ"/>
        </w:rPr>
        <w:t xml:space="preserve">HVLP: </w:t>
      </w:r>
      <w:r w:rsidRPr="001D032A">
        <w:rPr>
          <w:lang w:val="cs-CZ"/>
        </w:rPr>
        <w:tab/>
      </w:r>
      <w:r w:rsidRPr="001D032A">
        <w:rPr>
          <w:lang w:val="cs-CZ"/>
        </w:rPr>
        <w:tab/>
        <w:t>Hromadně vyráběné léčivé přípravky</w:t>
      </w:r>
    </w:p>
    <w:p w:rsidR="003E1B90" w:rsidRPr="001D032A" w:rsidRDefault="003E1B90" w:rsidP="003E1B90">
      <w:pPr>
        <w:pStyle w:val="TEXT"/>
        <w:numPr>
          <w:ilvl w:val="0"/>
          <w:numId w:val="35"/>
        </w:numPr>
        <w:rPr>
          <w:lang w:val="cs-CZ"/>
        </w:rPr>
      </w:pPr>
      <w:r w:rsidRPr="001D032A">
        <w:rPr>
          <w:lang w:val="cs-CZ"/>
        </w:rPr>
        <w:t xml:space="preserve">IS: </w:t>
      </w:r>
      <w:r w:rsidRPr="001D032A">
        <w:rPr>
          <w:lang w:val="cs-CZ"/>
        </w:rPr>
        <w:tab/>
      </w:r>
      <w:r w:rsidRPr="001D032A">
        <w:rPr>
          <w:lang w:val="cs-CZ"/>
        </w:rPr>
        <w:tab/>
        <w:t>Informační systém</w:t>
      </w:r>
    </w:p>
    <w:p w:rsidR="003E1B90" w:rsidRPr="001D032A" w:rsidRDefault="003E1B90" w:rsidP="003E1B90">
      <w:pPr>
        <w:pStyle w:val="TEXT"/>
        <w:numPr>
          <w:ilvl w:val="0"/>
          <w:numId w:val="35"/>
        </w:numPr>
        <w:rPr>
          <w:lang w:val="cs-CZ"/>
        </w:rPr>
      </w:pPr>
      <w:r w:rsidRPr="001D032A">
        <w:rPr>
          <w:lang w:val="cs-CZ"/>
        </w:rPr>
        <w:t xml:space="preserve">IZIP: </w:t>
      </w:r>
      <w:r w:rsidRPr="001D032A">
        <w:rPr>
          <w:lang w:val="cs-CZ"/>
        </w:rPr>
        <w:tab/>
      </w:r>
      <w:r w:rsidRPr="001D032A">
        <w:rPr>
          <w:lang w:val="cs-CZ"/>
        </w:rPr>
        <w:tab/>
        <w:t>Internetový přístup ke zdravotním informacím pacienta</w:t>
      </w:r>
    </w:p>
    <w:p w:rsidR="003E1B90" w:rsidRPr="001D032A" w:rsidRDefault="003E1B90" w:rsidP="003E1B90">
      <w:pPr>
        <w:pStyle w:val="TEXT"/>
        <w:numPr>
          <w:ilvl w:val="0"/>
          <w:numId w:val="35"/>
        </w:numPr>
        <w:rPr>
          <w:lang w:val="cs-CZ"/>
        </w:rPr>
      </w:pPr>
      <w:r w:rsidRPr="001D032A">
        <w:rPr>
          <w:lang w:val="cs-CZ"/>
        </w:rPr>
        <w:t xml:space="preserve">LDN: </w:t>
      </w:r>
      <w:r w:rsidRPr="001D032A">
        <w:rPr>
          <w:lang w:val="cs-CZ"/>
        </w:rPr>
        <w:tab/>
      </w:r>
      <w:r w:rsidRPr="001D032A">
        <w:rPr>
          <w:lang w:val="cs-CZ"/>
        </w:rPr>
        <w:tab/>
        <w:t>Léčebny dlouhodobě nemocných</w:t>
      </w:r>
    </w:p>
    <w:p w:rsidR="003E1B90" w:rsidRPr="001D032A" w:rsidRDefault="003E1B90" w:rsidP="003E1B90">
      <w:pPr>
        <w:pStyle w:val="TEXT"/>
        <w:numPr>
          <w:ilvl w:val="0"/>
          <w:numId w:val="35"/>
        </w:numPr>
        <w:rPr>
          <w:lang w:val="cs-CZ"/>
        </w:rPr>
      </w:pPr>
      <w:r w:rsidRPr="001D032A">
        <w:rPr>
          <w:lang w:val="cs-CZ"/>
        </w:rPr>
        <w:t xml:space="preserve">LSPP: </w:t>
      </w:r>
      <w:r w:rsidRPr="001D032A">
        <w:rPr>
          <w:lang w:val="cs-CZ"/>
        </w:rPr>
        <w:tab/>
      </w:r>
      <w:r w:rsidRPr="001D032A">
        <w:rPr>
          <w:lang w:val="cs-CZ"/>
        </w:rPr>
        <w:tab/>
        <w:t>Lékařská služba první pomoci</w:t>
      </w:r>
    </w:p>
    <w:p w:rsidR="003E1B90" w:rsidRPr="001D032A" w:rsidRDefault="003E1B90" w:rsidP="003E1B90">
      <w:pPr>
        <w:pStyle w:val="TEXT"/>
        <w:numPr>
          <w:ilvl w:val="0"/>
          <w:numId w:val="35"/>
        </w:numPr>
        <w:rPr>
          <w:lang w:val="cs-CZ"/>
        </w:rPr>
      </w:pPr>
      <w:r w:rsidRPr="001D032A">
        <w:rPr>
          <w:lang w:val="cs-CZ"/>
        </w:rPr>
        <w:t xml:space="preserve">MF: </w:t>
      </w:r>
      <w:r w:rsidRPr="001D032A">
        <w:rPr>
          <w:lang w:val="cs-CZ"/>
        </w:rPr>
        <w:tab/>
      </w:r>
      <w:r w:rsidRPr="001D032A">
        <w:rPr>
          <w:lang w:val="cs-CZ"/>
        </w:rPr>
        <w:tab/>
        <w:t>Ministerstvo financí</w:t>
      </w:r>
    </w:p>
    <w:p w:rsidR="003E1B90" w:rsidRPr="001D032A" w:rsidRDefault="003E1B90" w:rsidP="003E1B90">
      <w:pPr>
        <w:pStyle w:val="TEXT"/>
        <w:numPr>
          <w:ilvl w:val="0"/>
          <w:numId w:val="35"/>
        </w:numPr>
        <w:rPr>
          <w:lang w:val="cs-CZ"/>
        </w:rPr>
      </w:pPr>
      <w:r w:rsidRPr="001D032A">
        <w:rPr>
          <w:lang w:val="cs-CZ"/>
        </w:rPr>
        <w:t xml:space="preserve">MO: </w:t>
      </w:r>
      <w:r w:rsidRPr="001D032A">
        <w:rPr>
          <w:lang w:val="cs-CZ"/>
        </w:rPr>
        <w:tab/>
      </w:r>
      <w:r w:rsidRPr="001D032A">
        <w:rPr>
          <w:lang w:val="cs-CZ"/>
        </w:rPr>
        <w:tab/>
        <w:t>Ministerstvo obrany</w:t>
      </w:r>
    </w:p>
    <w:p w:rsidR="003E1B90" w:rsidRPr="001D032A" w:rsidRDefault="003E1B90" w:rsidP="003E1B90">
      <w:pPr>
        <w:pStyle w:val="TEXT"/>
        <w:numPr>
          <w:ilvl w:val="0"/>
          <w:numId w:val="35"/>
        </w:numPr>
        <w:rPr>
          <w:lang w:val="cs-CZ"/>
        </w:rPr>
      </w:pPr>
      <w:r w:rsidRPr="001D032A">
        <w:rPr>
          <w:lang w:val="cs-CZ"/>
        </w:rPr>
        <w:t xml:space="preserve">MV: </w:t>
      </w:r>
      <w:r w:rsidRPr="001D032A">
        <w:rPr>
          <w:lang w:val="cs-CZ"/>
        </w:rPr>
        <w:tab/>
      </w:r>
      <w:r w:rsidRPr="001D032A">
        <w:rPr>
          <w:lang w:val="cs-CZ"/>
        </w:rPr>
        <w:tab/>
        <w:t>Ministerstvo vnitra</w:t>
      </w:r>
    </w:p>
    <w:p w:rsidR="003E1B90" w:rsidRPr="001D032A" w:rsidRDefault="003E1B90" w:rsidP="003E1B90">
      <w:pPr>
        <w:pStyle w:val="TEXT"/>
        <w:numPr>
          <w:ilvl w:val="0"/>
          <w:numId w:val="35"/>
        </w:numPr>
        <w:rPr>
          <w:lang w:val="cs-CZ"/>
        </w:rPr>
      </w:pPr>
      <w:r w:rsidRPr="001D032A">
        <w:rPr>
          <w:lang w:val="cs-CZ"/>
        </w:rPr>
        <w:t xml:space="preserve">MZ: </w:t>
      </w:r>
      <w:r w:rsidRPr="001D032A">
        <w:rPr>
          <w:lang w:val="cs-CZ"/>
        </w:rPr>
        <w:tab/>
      </w:r>
      <w:r w:rsidRPr="001D032A">
        <w:rPr>
          <w:lang w:val="cs-CZ"/>
        </w:rPr>
        <w:tab/>
        <w:t>Ministerstvo zdravotnictví</w:t>
      </w:r>
    </w:p>
    <w:p w:rsidR="003E1B90" w:rsidRPr="001D032A" w:rsidRDefault="003E1B90" w:rsidP="003E1B90">
      <w:pPr>
        <w:pStyle w:val="TEXT"/>
        <w:numPr>
          <w:ilvl w:val="0"/>
          <w:numId w:val="35"/>
        </w:numPr>
        <w:rPr>
          <w:lang w:val="cs-CZ"/>
        </w:rPr>
      </w:pPr>
      <w:r w:rsidRPr="001D032A">
        <w:rPr>
          <w:lang w:val="cs-CZ"/>
        </w:rPr>
        <w:t xml:space="preserve">NATO: </w:t>
      </w:r>
      <w:r w:rsidRPr="001D032A">
        <w:rPr>
          <w:lang w:val="cs-CZ"/>
        </w:rPr>
        <w:tab/>
      </w:r>
      <w:r w:rsidRPr="001D032A">
        <w:rPr>
          <w:lang w:val="cs-CZ"/>
        </w:rPr>
        <w:tab/>
        <w:t>North Atlantic Treaty Organisation (Severoatlantická aliance)</w:t>
      </w:r>
    </w:p>
    <w:p w:rsidR="003E1B90" w:rsidRPr="001D032A" w:rsidRDefault="003E1B90" w:rsidP="003E1B90">
      <w:pPr>
        <w:pStyle w:val="TEXT"/>
        <w:numPr>
          <w:ilvl w:val="0"/>
          <w:numId w:val="35"/>
        </w:numPr>
        <w:rPr>
          <w:lang w:val="cs-CZ"/>
        </w:rPr>
      </w:pPr>
      <w:r w:rsidRPr="001D032A">
        <w:rPr>
          <w:lang w:val="cs-CZ"/>
        </w:rPr>
        <w:lastRenderedPageBreak/>
        <w:t xml:space="preserve">NKÚ: </w:t>
      </w:r>
      <w:r w:rsidRPr="001D032A">
        <w:rPr>
          <w:lang w:val="cs-CZ"/>
        </w:rPr>
        <w:tab/>
      </w:r>
      <w:r w:rsidRPr="001D032A">
        <w:rPr>
          <w:lang w:val="cs-CZ"/>
        </w:rPr>
        <w:tab/>
        <w:t>Nejvyšší kontrolní úřad</w:t>
      </w:r>
    </w:p>
    <w:p w:rsidR="003E1B90" w:rsidRPr="001D032A" w:rsidRDefault="003E1B90" w:rsidP="003E1B90">
      <w:pPr>
        <w:pStyle w:val="TEXT"/>
        <w:numPr>
          <w:ilvl w:val="0"/>
          <w:numId w:val="35"/>
        </w:numPr>
        <w:rPr>
          <w:lang w:val="cs-CZ"/>
        </w:rPr>
      </w:pPr>
      <w:r w:rsidRPr="001D032A">
        <w:rPr>
          <w:lang w:val="cs-CZ"/>
        </w:rPr>
        <w:t xml:space="preserve">OBZP: </w:t>
      </w:r>
      <w:r w:rsidRPr="001D032A">
        <w:rPr>
          <w:lang w:val="cs-CZ"/>
        </w:rPr>
        <w:tab/>
      </w:r>
      <w:r w:rsidRPr="001D032A">
        <w:rPr>
          <w:lang w:val="cs-CZ"/>
        </w:rPr>
        <w:tab/>
        <w:t>Osoby bez zdanitelných příjmů</w:t>
      </w:r>
    </w:p>
    <w:p w:rsidR="003E1B90" w:rsidRPr="001D032A" w:rsidRDefault="003E1B90" w:rsidP="003E1B90">
      <w:pPr>
        <w:pStyle w:val="TEXT"/>
        <w:numPr>
          <w:ilvl w:val="0"/>
          <w:numId w:val="35"/>
        </w:numPr>
        <w:rPr>
          <w:lang w:val="cs-CZ"/>
        </w:rPr>
      </w:pPr>
      <w:r w:rsidRPr="001D032A">
        <w:rPr>
          <w:lang w:val="cs-CZ"/>
        </w:rPr>
        <w:t xml:space="preserve">OLÚ: </w:t>
      </w:r>
      <w:r w:rsidRPr="001D032A">
        <w:rPr>
          <w:lang w:val="cs-CZ"/>
        </w:rPr>
        <w:tab/>
      </w:r>
      <w:r w:rsidRPr="001D032A">
        <w:rPr>
          <w:lang w:val="cs-CZ"/>
        </w:rPr>
        <w:tab/>
        <w:t>Odborné léčebné ústavy</w:t>
      </w:r>
    </w:p>
    <w:p w:rsidR="003E1B90" w:rsidRPr="001D032A" w:rsidRDefault="003E1B90" w:rsidP="003E1B90">
      <w:pPr>
        <w:pStyle w:val="TEXT"/>
        <w:numPr>
          <w:ilvl w:val="0"/>
          <w:numId w:val="35"/>
        </w:numPr>
        <w:rPr>
          <w:lang w:val="cs-CZ"/>
        </w:rPr>
      </w:pPr>
      <w:r w:rsidRPr="001D032A">
        <w:rPr>
          <w:lang w:val="cs-CZ"/>
        </w:rPr>
        <w:t xml:space="preserve">OSVČ: </w:t>
      </w:r>
      <w:r w:rsidRPr="001D032A">
        <w:rPr>
          <w:lang w:val="cs-CZ"/>
        </w:rPr>
        <w:tab/>
      </w:r>
      <w:r w:rsidRPr="001D032A">
        <w:rPr>
          <w:lang w:val="cs-CZ"/>
        </w:rPr>
        <w:tab/>
        <w:t xml:space="preserve">Osoby samostatně výdělečně činné </w:t>
      </w:r>
    </w:p>
    <w:p w:rsidR="003E1B90" w:rsidRPr="001D032A" w:rsidRDefault="003E1B90" w:rsidP="003E1B90">
      <w:pPr>
        <w:pStyle w:val="TEXT"/>
        <w:numPr>
          <w:ilvl w:val="0"/>
          <w:numId w:val="35"/>
        </w:numPr>
        <w:rPr>
          <w:lang w:val="cs-CZ"/>
        </w:rPr>
      </w:pPr>
      <w:r w:rsidRPr="001D032A">
        <w:rPr>
          <w:lang w:val="cs-CZ"/>
        </w:rPr>
        <w:t xml:space="preserve">OZdČ: </w:t>
      </w:r>
      <w:r w:rsidRPr="001D032A">
        <w:rPr>
          <w:lang w:val="cs-CZ"/>
        </w:rPr>
        <w:tab/>
      </w:r>
      <w:r w:rsidRPr="001D032A">
        <w:rPr>
          <w:lang w:val="cs-CZ"/>
        </w:rPr>
        <w:tab/>
        <w:t>Ostatní zdaňovaná činnost</w:t>
      </w:r>
    </w:p>
    <w:p w:rsidR="003E1B90" w:rsidRPr="001D032A" w:rsidRDefault="003E1B90" w:rsidP="003E1B90">
      <w:pPr>
        <w:pStyle w:val="TEXT"/>
        <w:numPr>
          <w:ilvl w:val="0"/>
          <w:numId w:val="35"/>
        </w:numPr>
        <w:rPr>
          <w:lang w:val="cs-CZ"/>
        </w:rPr>
      </w:pPr>
      <w:r w:rsidRPr="001D032A">
        <w:rPr>
          <w:lang w:val="cs-CZ"/>
        </w:rPr>
        <w:t xml:space="preserve">OZP: </w:t>
      </w:r>
      <w:r w:rsidRPr="001D032A">
        <w:rPr>
          <w:lang w:val="cs-CZ"/>
        </w:rPr>
        <w:tab/>
      </w:r>
      <w:r w:rsidRPr="001D032A">
        <w:rPr>
          <w:lang w:val="cs-CZ"/>
        </w:rPr>
        <w:tab/>
        <w:t xml:space="preserve">Oborová zdravotní pojišťovna </w:t>
      </w:r>
    </w:p>
    <w:p w:rsidR="003E1B90" w:rsidRPr="001D032A" w:rsidRDefault="003E1B90" w:rsidP="003E1B90">
      <w:pPr>
        <w:pStyle w:val="TEXT"/>
        <w:numPr>
          <w:ilvl w:val="0"/>
          <w:numId w:val="35"/>
        </w:numPr>
        <w:rPr>
          <w:lang w:val="cs-CZ"/>
        </w:rPr>
      </w:pPr>
      <w:r w:rsidRPr="001D032A">
        <w:rPr>
          <w:lang w:val="cs-CZ"/>
        </w:rPr>
        <w:t>Oč. s.:</w:t>
      </w:r>
      <w:r w:rsidR="00051CD2">
        <w:rPr>
          <w:lang w:val="cs-CZ"/>
        </w:rPr>
        <w:tab/>
      </w:r>
      <w:r w:rsidRPr="001D032A">
        <w:rPr>
          <w:lang w:val="cs-CZ"/>
        </w:rPr>
        <w:tab/>
        <w:t xml:space="preserve">Očekávaná skutečnost </w:t>
      </w:r>
    </w:p>
    <w:p w:rsidR="003E1B90" w:rsidRPr="001D032A" w:rsidRDefault="003E1B90" w:rsidP="003E1B90">
      <w:pPr>
        <w:pStyle w:val="TEXT"/>
        <w:numPr>
          <w:ilvl w:val="0"/>
          <w:numId w:val="35"/>
        </w:numPr>
        <w:rPr>
          <w:lang w:val="cs-CZ"/>
        </w:rPr>
      </w:pPr>
      <w:r w:rsidRPr="001D032A">
        <w:rPr>
          <w:lang w:val="cs-CZ"/>
        </w:rPr>
        <w:t xml:space="preserve">p. b.: </w:t>
      </w:r>
      <w:r w:rsidRPr="001D032A">
        <w:rPr>
          <w:lang w:val="cs-CZ"/>
        </w:rPr>
        <w:tab/>
      </w:r>
      <w:r w:rsidRPr="001D032A">
        <w:rPr>
          <w:lang w:val="cs-CZ"/>
        </w:rPr>
        <w:tab/>
        <w:t>Procentní bod</w:t>
      </w:r>
    </w:p>
    <w:p w:rsidR="003E1B90" w:rsidRPr="001D032A" w:rsidRDefault="003E1B90" w:rsidP="003E1B90">
      <w:pPr>
        <w:pStyle w:val="TEXT"/>
        <w:numPr>
          <w:ilvl w:val="0"/>
          <w:numId w:val="35"/>
        </w:numPr>
        <w:rPr>
          <w:lang w:val="cs-CZ"/>
        </w:rPr>
      </w:pPr>
      <w:r w:rsidRPr="001D032A">
        <w:rPr>
          <w:lang w:val="cs-CZ"/>
        </w:rPr>
        <w:t xml:space="preserve">PF: </w:t>
      </w:r>
      <w:r w:rsidRPr="001D032A">
        <w:rPr>
          <w:lang w:val="cs-CZ"/>
        </w:rPr>
        <w:tab/>
      </w:r>
      <w:r w:rsidRPr="001D032A">
        <w:rPr>
          <w:lang w:val="cs-CZ"/>
        </w:rPr>
        <w:tab/>
        <w:t>Provozní fond</w:t>
      </w:r>
    </w:p>
    <w:p w:rsidR="003E1B90" w:rsidRPr="001D032A" w:rsidRDefault="003E1B90" w:rsidP="003E1B90">
      <w:pPr>
        <w:pStyle w:val="TEXT"/>
        <w:numPr>
          <w:ilvl w:val="0"/>
          <w:numId w:val="35"/>
        </w:numPr>
        <w:rPr>
          <w:lang w:val="cs-CZ"/>
        </w:rPr>
      </w:pPr>
      <w:r w:rsidRPr="001D032A">
        <w:rPr>
          <w:lang w:val="cs-CZ"/>
        </w:rPr>
        <w:t xml:space="preserve">PSP ČR: </w:t>
      </w:r>
      <w:r w:rsidRPr="001D032A">
        <w:rPr>
          <w:lang w:val="cs-CZ"/>
        </w:rPr>
        <w:tab/>
        <w:t>Poslanecká sněmovna Parlamentu ČR</w:t>
      </w:r>
    </w:p>
    <w:p w:rsidR="003E1B90" w:rsidRPr="001D032A" w:rsidRDefault="003E1B90" w:rsidP="003E1B90">
      <w:pPr>
        <w:pStyle w:val="TEXT"/>
        <w:numPr>
          <w:ilvl w:val="0"/>
          <w:numId w:val="35"/>
        </w:numPr>
        <w:rPr>
          <w:lang w:val="cs-CZ"/>
        </w:rPr>
      </w:pPr>
      <w:r w:rsidRPr="001D032A">
        <w:rPr>
          <w:lang w:val="cs-CZ"/>
        </w:rPr>
        <w:t>PVZP, a. s.:</w:t>
      </w:r>
      <w:r w:rsidRPr="001D032A">
        <w:rPr>
          <w:lang w:val="cs-CZ"/>
        </w:rPr>
        <w:tab/>
        <w:t>Pojišťovna VZP, a. s.</w:t>
      </w:r>
    </w:p>
    <w:p w:rsidR="003E1B90" w:rsidRPr="001D032A" w:rsidRDefault="003E1B90" w:rsidP="003E1B90">
      <w:pPr>
        <w:pStyle w:val="TEXT"/>
        <w:numPr>
          <w:ilvl w:val="0"/>
          <w:numId w:val="35"/>
        </w:numPr>
        <w:rPr>
          <w:lang w:val="cs-CZ"/>
        </w:rPr>
      </w:pPr>
      <w:r w:rsidRPr="001D032A">
        <w:rPr>
          <w:lang w:val="cs-CZ"/>
        </w:rPr>
        <w:t xml:space="preserve">PZS: </w:t>
      </w:r>
      <w:r w:rsidRPr="001D032A">
        <w:rPr>
          <w:lang w:val="cs-CZ"/>
        </w:rPr>
        <w:tab/>
      </w:r>
      <w:r w:rsidRPr="001D032A">
        <w:rPr>
          <w:lang w:val="cs-CZ"/>
        </w:rPr>
        <w:tab/>
        <w:t>Poskytovatelé zdravotních služeb</w:t>
      </w:r>
    </w:p>
    <w:p w:rsidR="003E1B90" w:rsidRPr="001D032A" w:rsidRDefault="003E1B90" w:rsidP="003E1B90">
      <w:pPr>
        <w:pStyle w:val="TEXT"/>
        <w:numPr>
          <w:ilvl w:val="0"/>
          <w:numId w:val="35"/>
        </w:numPr>
        <w:rPr>
          <w:lang w:val="cs-CZ"/>
        </w:rPr>
      </w:pPr>
      <w:r w:rsidRPr="001D032A">
        <w:rPr>
          <w:lang w:val="cs-CZ"/>
        </w:rPr>
        <w:t xml:space="preserve">RBP: </w:t>
      </w:r>
      <w:r w:rsidRPr="001D032A">
        <w:rPr>
          <w:lang w:val="cs-CZ"/>
        </w:rPr>
        <w:tab/>
      </w:r>
      <w:r w:rsidRPr="001D032A">
        <w:rPr>
          <w:lang w:val="cs-CZ"/>
        </w:rPr>
        <w:tab/>
        <w:t>Revírní bratrská pokladna, zdravotní pojišťovna</w:t>
      </w:r>
    </w:p>
    <w:p w:rsidR="003E1B90" w:rsidRPr="001D032A" w:rsidRDefault="003E1B90" w:rsidP="003E1B90">
      <w:pPr>
        <w:pStyle w:val="TEXT"/>
        <w:numPr>
          <w:ilvl w:val="0"/>
          <w:numId w:val="35"/>
        </w:numPr>
        <w:rPr>
          <w:lang w:val="cs-CZ"/>
        </w:rPr>
      </w:pPr>
      <w:r w:rsidRPr="001D032A">
        <w:rPr>
          <w:lang w:val="cs-CZ"/>
        </w:rPr>
        <w:t xml:space="preserve">RF: </w:t>
      </w:r>
      <w:r w:rsidRPr="001D032A">
        <w:rPr>
          <w:lang w:val="cs-CZ"/>
        </w:rPr>
        <w:tab/>
      </w:r>
      <w:r w:rsidRPr="001D032A">
        <w:rPr>
          <w:lang w:val="cs-CZ"/>
        </w:rPr>
        <w:tab/>
        <w:t>Rezervní fond</w:t>
      </w:r>
    </w:p>
    <w:p w:rsidR="003E1B90" w:rsidRPr="001D032A" w:rsidRDefault="003E1B90" w:rsidP="003E1B90">
      <w:pPr>
        <w:pStyle w:val="TEXT"/>
        <w:numPr>
          <w:ilvl w:val="0"/>
          <w:numId w:val="35"/>
        </w:numPr>
        <w:rPr>
          <w:lang w:val="cs-CZ"/>
        </w:rPr>
      </w:pPr>
      <w:r w:rsidRPr="001D032A">
        <w:rPr>
          <w:lang w:val="cs-CZ"/>
        </w:rPr>
        <w:t xml:space="preserve">RO: </w:t>
      </w:r>
      <w:r w:rsidRPr="001D032A">
        <w:rPr>
          <w:lang w:val="cs-CZ"/>
        </w:rPr>
        <w:tab/>
      </w:r>
      <w:r w:rsidRPr="001D032A">
        <w:rPr>
          <w:lang w:val="cs-CZ"/>
        </w:rPr>
        <w:tab/>
        <w:t>Rozhodčí orgán</w:t>
      </w:r>
    </w:p>
    <w:p w:rsidR="003E1B90" w:rsidRPr="001D032A" w:rsidRDefault="003E1B90" w:rsidP="003E1B90">
      <w:pPr>
        <w:pStyle w:val="TEXT"/>
        <w:numPr>
          <w:ilvl w:val="0"/>
          <w:numId w:val="35"/>
        </w:numPr>
        <w:rPr>
          <w:lang w:val="cs-CZ"/>
        </w:rPr>
      </w:pPr>
      <w:r w:rsidRPr="001D032A">
        <w:rPr>
          <w:lang w:val="cs-CZ"/>
        </w:rPr>
        <w:t xml:space="preserve">SF: </w:t>
      </w:r>
      <w:r w:rsidRPr="001D032A">
        <w:rPr>
          <w:lang w:val="cs-CZ"/>
        </w:rPr>
        <w:tab/>
      </w:r>
      <w:r w:rsidRPr="001D032A">
        <w:rPr>
          <w:lang w:val="cs-CZ"/>
        </w:rPr>
        <w:tab/>
        <w:t>Sociální fond</w:t>
      </w:r>
    </w:p>
    <w:p w:rsidR="003E1B90" w:rsidRPr="001D032A" w:rsidRDefault="003E1B90" w:rsidP="003E1B90">
      <w:pPr>
        <w:pStyle w:val="TEXT"/>
        <w:numPr>
          <w:ilvl w:val="0"/>
          <w:numId w:val="35"/>
        </w:numPr>
        <w:rPr>
          <w:lang w:val="cs-CZ"/>
        </w:rPr>
      </w:pPr>
      <w:r w:rsidRPr="001D032A">
        <w:rPr>
          <w:lang w:val="cs-CZ"/>
        </w:rPr>
        <w:t xml:space="preserve">SR: </w:t>
      </w:r>
      <w:r w:rsidRPr="001D032A">
        <w:rPr>
          <w:lang w:val="cs-CZ"/>
        </w:rPr>
        <w:tab/>
      </w:r>
      <w:r w:rsidRPr="001D032A">
        <w:rPr>
          <w:lang w:val="cs-CZ"/>
        </w:rPr>
        <w:tab/>
        <w:t>Správní rada</w:t>
      </w:r>
    </w:p>
    <w:p w:rsidR="003E1B90" w:rsidRPr="001D032A" w:rsidRDefault="003E1B90" w:rsidP="003E1B90">
      <w:pPr>
        <w:pStyle w:val="TEXT"/>
        <w:numPr>
          <w:ilvl w:val="0"/>
          <w:numId w:val="35"/>
        </w:numPr>
        <w:rPr>
          <w:lang w:val="cs-CZ"/>
        </w:rPr>
      </w:pPr>
      <w:r w:rsidRPr="001D032A">
        <w:rPr>
          <w:lang w:val="cs-CZ"/>
        </w:rPr>
        <w:t xml:space="preserve">v. z. p.: </w:t>
      </w:r>
      <w:r w:rsidRPr="001D032A">
        <w:rPr>
          <w:lang w:val="cs-CZ"/>
        </w:rPr>
        <w:tab/>
        <w:t>Veřejné zdravotní pojištění</w:t>
      </w:r>
    </w:p>
    <w:p w:rsidR="003E1B90" w:rsidRPr="001D032A" w:rsidRDefault="003E1B90" w:rsidP="003E1B90">
      <w:pPr>
        <w:pStyle w:val="TEXT"/>
        <w:numPr>
          <w:ilvl w:val="0"/>
          <w:numId w:val="35"/>
        </w:numPr>
        <w:rPr>
          <w:lang w:val="cs-CZ"/>
        </w:rPr>
      </w:pPr>
      <w:r w:rsidRPr="001D032A">
        <w:rPr>
          <w:lang w:val="cs-CZ"/>
        </w:rPr>
        <w:t xml:space="preserve">VoZP ČR: </w:t>
      </w:r>
      <w:r w:rsidRPr="001D032A">
        <w:rPr>
          <w:lang w:val="cs-CZ"/>
        </w:rPr>
        <w:tab/>
        <w:t>Vojenská zdravotní pojišťovna ČR</w:t>
      </w:r>
    </w:p>
    <w:p w:rsidR="003E1B90" w:rsidRPr="001D032A" w:rsidRDefault="003E1B90" w:rsidP="003E1B90">
      <w:pPr>
        <w:pStyle w:val="TEXT"/>
        <w:numPr>
          <w:ilvl w:val="0"/>
          <w:numId w:val="35"/>
        </w:numPr>
        <w:rPr>
          <w:lang w:val="cs-CZ"/>
        </w:rPr>
      </w:pPr>
      <w:bookmarkStart w:id="248" w:name="_Toc460437600"/>
      <w:r w:rsidRPr="001D032A">
        <w:rPr>
          <w:lang w:val="cs-CZ"/>
        </w:rPr>
        <w:t xml:space="preserve">VZP ČR: </w:t>
      </w:r>
      <w:r w:rsidRPr="001D032A">
        <w:rPr>
          <w:lang w:val="cs-CZ"/>
        </w:rPr>
        <w:tab/>
        <w:t>Všeobecná zdravotní pojišťovna ČR</w:t>
      </w:r>
      <w:bookmarkEnd w:id="248"/>
    </w:p>
    <w:p w:rsidR="003E1B90" w:rsidRPr="001D032A" w:rsidRDefault="003E1B90" w:rsidP="003E1B90">
      <w:pPr>
        <w:pStyle w:val="TEXT"/>
        <w:numPr>
          <w:ilvl w:val="0"/>
          <w:numId w:val="35"/>
        </w:numPr>
        <w:rPr>
          <w:lang w:val="cs-CZ"/>
        </w:rPr>
      </w:pPr>
      <w:r w:rsidRPr="001D032A">
        <w:rPr>
          <w:lang w:val="cs-CZ"/>
        </w:rPr>
        <w:t xml:space="preserve">ZF: </w:t>
      </w:r>
      <w:r w:rsidRPr="001D032A">
        <w:rPr>
          <w:lang w:val="cs-CZ"/>
        </w:rPr>
        <w:tab/>
      </w:r>
      <w:r w:rsidRPr="001D032A">
        <w:rPr>
          <w:lang w:val="cs-CZ"/>
        </w:rPr>
        <w:tab/>
        <w:t>Zajišťovací fond</w:t>
      </w:r>
    </w:p>
    <w:p w:rsidR="003E1B90" w:rsidRPr="001D032A" w:rsidRDefault="003E1B90" w:rsidP="003E1B90">
      <w:pPr>
        <w:pStyle w:val="TEXT"/>
        <w:numPr>
          <w:ilvl w:val="0"/>
          <w:numId w:val="35"/>
        </w:numPr>
        <w:rPr>
          <w:lang w:val="cs-CZ"/>
        </w:rPr>
      </w:pPr>
      <w:r w:rsidRPr="001D032A">
        <w:rPr>
          <w:lang w:val="cs-CZ"/>
        </w:rPr>
        <w:t xml:space="preserve">ZFZP: </w:t>
      </w:r>
      <w:r w:rsidRPr="001D032A">
        <w:rPr>
          <w:lang w:val="cs-CZ"/>
        </w:rPr>
        <w:tab/>
      </w:r>
      <w:r w:rsidRPr="001D032A">
        <w:rPr>
          <w:lang w:val="cs-CZ"/>
        </w:rPr>
        <w:tab/>
        <w:t>Základní fond zdravotního pojištění</w:t>
      </w:r>
    </w:p>
    <w:p w:rsidR="003E1B90" w:rsidRPr="001D032A" w:rsidRDefault="003E1B90" w:rsidP="003E1B90">
      <w:pPr>
        <w:pStyle w:val="TEXT"/>
        <w:numPr>
          <w:ilvl w:val="0"/>
          <w:numId w:val="35"/>
        </w:numPr>
        <w:rPr>
          <w:lang w:val="cs-CZ"/>
        </w:rPr>
      </w:pPr>
      <w:r w:rsidRPr="001D032A">
        <w:rPr>
          <w:lang w:val="cs-CZ"/>
        </w:rPr>
        <w:t xml:space="preserve">ZP MV ČR: </w:t>
      </w:r>
      <w:r w:rsidRPr="001D032A">
        <w:rPr>
          <w:lang w:val="cs-CZ"/>
        </w:rPr>
        <w:tab/>
        <w:t>Zdravotní pojišťovna ministerstva vnitra ČR</w:t>
      </w:r>
    </w:p>
    <w:p w:rsidR="003E1B90" w:rsidRPr="001D032A" w:rsidRDefault="003E1B90" w:rsidP="003E1B90">
      <w:pPr>
        <w:pStyle w:val="TEXT"/>
        <w:numPr>
          <w:ilvl w:val="0"/>
          <w:numId w:val="35"/>
        </w:numPr>
        <w:rPr>
          <w:lang w:val="cs-CZ"/>
        </w:rPr>
      </w:pPr>
      <w:bookmarkStart w:id="249" w:name="_Toc460437601"/>
      <w:r w:rsidRPr="001D032A">
        <w:rPr>
          <w:lang w:val="cs-CZ"/>
        </w:rPr>
        <w:t xml:space="preserve">ZP: </w:t>
      </w:r>
      <w:r w:rsidRPr="001D032A">
        <w:rPr>
          <w:lang w:val="cs-CZ"/>
        </w:rPr>
        <w:tab/>
      </w:r>
      <w:r w:rsidRPr="001D032A">
        <w:rPr>
          <w:lang w:val="cs-CZ"/>
        </w:rPr>
        <w:tab/>
        <w:t>Zdravotní pojišťovny</w:t>
      </w:r>
      <w:bookmarkEnd w:id="249"/>
      <w:r w:rsidRPr="001D032A">
        <w:rPr>
          <w:lang w:val="cs-CZ"/>
        </w:rPr>
        <w:t xml:space="preserve"> </w:t>
      </w:r>
    </w:p>
    <w:p w:rsidR="003E1B90" w:rsidRPr="001D032A" w:rsidRDefault="003E1B90" w:rsidP="003E1B90">
      <w:pPr>
        <w:pStyle w:val="TEXT"/>
        <w:numPr>
          <w:ilvl w:val="0"/>
          <w:numId w:val="35"/>
        </w:numPr>
        <w:rPr>
          <w:lang w:val="cs-CZ"/>
        </w:rPr>
      </w:pPr>
      <w:r w:rsidRPr="001D032A">
        <w:rPr>
          <w:lang w:val="cs-CZ"/>
        </w:rPr>
        <w:t>ZPP:</w:t>
      </w:r>
      <w:r w:rsidRPr="001D032A">
        <w:rPr>
          <w:lang w:val="cs-CZ"/>
        </w:rPr>
        <w:tab/>
      </w:r>
      <w:r w:rsidR="00E40EFE">
        <w:rPr>
          <w:lang w:val="cs-CZ"/>
        </w:rPr>
        <w:tab/>
      </w:r>
      <w:r w:rsidRPr="001D032A">
        <w:rPr>
          <w:lang w:val="cs-CZ"/>
        </w:rPr>
        <w:t>Zdravotně pojistný plán</w:t>
      </w:r>
    </w:p>
    <w:p w:rsidR="003E1B90" w:rsidRPr="001D032A" w:rsidRDefault="003E1B90" w:rsidP="003E1B90">
      <w:pPr>
        <w:pStyle w:val="TEXT"/>
        <w:numPr>
          <w:ilvl w:val="0"/>
          <w:numId w:val="35"/>
        </w:numPr>
        <w:rPr>
          <w:lang w:val="cs-CZ"/>
        </w:rPr>
      </w:pPr>
      <w:r w:rsidRPr="001D032A">
        <w:rPr>
          <w:lang w:val="cs-CZ"/>
        </w:rPr>
        <w:t xml:space="preserve">ZPŠ: </w:t>
      </w:r>
      <w:r w:rsidRPr="001D032A">
        <w:rPr>
          <w:lang w:val="cs-CZ"/>
        </w:rPr>
        <w:tab/>
      </w:r>
      <w:r w:rsidRPr="001D032A">
        <w:rPr>
          <w:lang w:val="cs-CZ"/>
        </w:rPr>
        <w:tab/>
        <w:t xml:space="preserve">Zaměstnanecká pojišťovna Škoda </w:t>
      </w:r>
    </w:p>
    <w:p w:rsidR="003E1B90" w:rsidRPr="001D032A" w:rsidRDefault="003E1B90" w:rsidP="003E1B90">
      <w:pPr>
        <w:pStyle w:val="TEXT"/>
        <w:numPr>
          <w:ilvl w:val="0"/>
          <w:numId w:val="35"/>
        </w:numPr>
        <w:rPr>
          <w:lang w:val="cs-CZ"/>
        </w:rPr>
      </w:pPr>
      <w:r w:rsidRPr="001D032A">
        <w:rPr>
          <w:lang w:val="cs-CZ"/>
        </w:rPr>
        <w:t xml:space="preserve">ZUM: </w:t>
      </w:r>
      <w:r w:rsidRPr="001D032A">
        <w:rPr>
          <w:lang w:val="cs-CZ"/>
        </w:rPr>
        <w:tab/>
      </w:r>
      <w:r w:rsidRPr="001D032A">
        <w:rPr>
          <w:lang w:val="cs-CZ"/>
        </w:rPr>
        <w:tab/>
        <w:t>Zvlášť účtovaný materiál</w:t>
      </w:r>
    </w:p>
    <w:p w:rsidR="003E1B90" w:rsidRPr="001D032A" w:rsidRDefault="003E1B90" w:rsidP="003E1B90">
      <w:pPr>
        <w:pStyle w:val="TEXT"/>
        <w:numPr>
          <w:ilvl w:val="0"/>
          <w:numId w:val="35"/>
        </w:numPr>
        <w:rPr>
          <w:lang w:val="cs-CZ"/>
        </w:rPr>
      </w:pPr>
      <w:r w:rsidRPr="001D032A">
        <w:rPr>
          <w:lang w:val="cs-CZ"/>
        </w:rPr>
        <w:t xml:space="preserve">ZULP: </w:t>
      </w:r>
      <w:r w:rsidRPr="001D032A">
        <w:rPr>
          <w:lang w:val="cs-CZ"/>
        </w:rPr>
        <w:tab/>
      </w:r>
      <w:r w:rsidRPr="001D032A">
        <w:rPr>
          <w:lang w:val="cs-CZ"/>
        </w:rPr>
        <w:tab/>
        <w:t>Zvlášť účtované léčivé přípravky</w:t>
      </w:r>
    </w:p>
    <w:p w:rsidR="003E1B90" w:rsidRPr="001D032A" w:rsidRDefault="003E1B90" w:rsidP="003E1B90">
      <w:pPr>
        <w:pStyle w:val="TEXT"/>
        <w:numPr>
          <w:ilvl w:val="0"/>
          <w:numId w:val="35"/>
        </w:numPr>
        <w:rPr>
          <w:lang w:val="cs-CZ"/>
        </w:rPr>
      </w:pPr>
      <w:bookmarkStart w:id="250" w:name="_Toc460437602"/>
      <w:r w:rsidRPr="001D032A">
        <w:rPr>
          <w:lang w:val="cs-CZ"/>
        </w:rPr>
        <w:t xml:space="preserve">ZZP: </w:t>
      </w:r>
      <w:r w:rsidRPr="001D032A">
        <w:rPr>
          <w:lang w:val="cs-CZ"/>
        </w:rPr>
        <w:tab/>
      </w:r>
      <w:r w:rsidRPr="001D032A">
        <w:rPr>
          <w:lang w:val="cs-CZ"/>
        </w:rPr>
        <w:tab/>
        <w:t>Zaměstnanecké zdravotní pojišťovny</w:t>
      </w:r>
      <w:bookmarkEnd w:id="250"/>
      <w:r w:rsidRPr="001D032A">
        <w:rPr>
          <w:lang w:val="cs-CZ"/>
        </w:rPr>
        <w:t xml:space="preserve"> </w:t>
      </w:r>
    </w:p>
    <w:p w:rsidR="003E1B90" w:rsidRPr="001D032A" w:rsidRDefault="003E1B90" w:rsidP="003E1B90">
      <w:pPr>
        <w:pStyle w:val="TEXT"/>
        <w:numPr>
          <w:ilvl w:val="0"/>
          <w:numId w:val="35"/>
        </w:numPr>
        <w:rPr>
          <w:lang w:val="cs-CZ"/>
        </w:rPr>
      </w:pPr>
      <w:r w:rsidRPr="001D032A">
        <w:rPr>
          <w:lang w:val="cs-CZ"/>
        </w:rPr>
        <w:t xml:space="preserve">ZZS: </w:t>
      </w:r>
      <w:r w:rsidRPr="001D032A">
        <w:rPr>
          <w:lang w:val="cs-CZ"/>
        </w:rPr>
        <w:tab/>
      </w:r>
      <w:r w:rsidRPr="001D032A">
        <w:rPr>
          <w:lang w:val="cs-CZ"/>
        </w:rPr>
        <w:tab/>
        <w:t>Zdravotnická záchranná služba</w:t>
      </w:r>
    </w:p>
    <w:p w:rsidR="003E1B90" w:rsidRPr="001D032A" w:rsidRDefault="003E1B90" w:rsidP="00D70EAA">
      <w:pPr>
        <w:pStyle w:val="Nadpis2"/>
      </w:pPr>
      <w:bookmarkStart w:id="251" w:name="_Toc460456870"/>
      <w:bookmarkStart w:id="252" w:name="_Toc525944510"/>
      <w:r w:rsidRPr="001D032A">
        <w:lastRenderedPageBreak/>
        <w:t>Zdroje</w:t>
      </w:r>
      <w:bookmarkEnd w:id="251"/>
      <w:bookmarkEnd w:id="252"/>
    </w:p>
    <w:p w:rsidR="00906144" w:rsidRPr="001D032A" w:rsidRDefault="00906144" w:rsidP="00623E06">
      <w:pPr>
        <w:pStyle w:val="Odstavecseseznamem"/>
        <w:numPr>
          <w:ilvl w:val="0"/>
          <w:numId w:val="37"/>
        </w:numPr>
        <w:jc w:val="both"/>
        <w:rPr>
          <w:sz w:val="24"/>
          <w:szCs w:val="24"/>
          <w:lang w:val="cs-CZ"/>
        </w:rPr>
      </w:pPr>
      <w:r w:rsidRPr="001D032A">
        <w:rPr>
          <w:sz w:val="24"/>
          <w:szCs w:val="24"/>
          <w:lang w:val="cs-CZ"/>
        </w:rPr>
        <w:t>ČESKÁ NÁRODNÍ BANKA: Zpráva o inflaci III/201</w:t>
      </w:r>
      <w:r w:rsidR="00616DA5" w:rsidRPr="001D032A">
        <w:rPr>
          <w:sz w:val="24"/>
          <w:szCs w:val="24"/>
          <w:lang w:val="cs-CZ"/>
        </w:rPr>
        <w:t>8</w:t>
      </w:r>
      <w:r w:rsidRPr="001D032A">
        <w:rPr>
          <w:sz w:val="24"/>
          <w:szCs w:val="24"/>
          <w:lang w:val="cs-CZ"/>
        </w:rPr>
        <w:t>, makroekonomická data</w:t>
      </w:r>
    </w:p>
    <w:p w:rsidR="00906144" w:rsidRPr="001D032A" w:rsidRDefault="00906144" w:rsidP="00623E06">
      <w:pPr>
        <w:pStyle w:val="Odstavecseseznamem"/>
        <w:numPr>
          <w:ilvl w:val="0"/>
          <w:numId w:val="37"/>
        </w:numPr>
        <w:jc w:val="both"/>
        <w:rPr>
          <w:sz w:val="24"/>
          <w:szCs w:val="24"/>
          <w:lang w:val="cs-CZ"/>
        </w:rPr>
      </w:pPr>
      <w:r w:rsidRPr="001D032A">
        <w:rPr>
          <w:sz w:val="24"/>
          <w:szCs w:val="24"/>
          <w:lang w:val="cs-CZ"/>
        </w:rPr>
        <w:t>ČESKÝ STATISTICKÝ ÚŘAD: Česká republika od roku 1989 v číslech, makroekonomická data</w:t>
      </w:r>
    </w:p>
    <w:p w:rsidR="005968D2" w:rsidRPr="001D032A" w:rsidRDefault="00623E06" w:rsidP="00623E06">
      <w:pPr>
        <w:pStyle w:val="Odstavecseseznamem"/>
        <w:numPr>
          <w:ilvl w:val="0"/>
          <w:numId w:val="37"/>
        </w:numPr>
        <w:jc w:val="both"/>
        <w:rPr>
          <w:sz w:val="24"/>
          <w:szCs w:val="24"/>
          <w:lang w:val="cs-CZ"/>
        </w:rPr>
      </w:pPr>
      <w:r w:rsidRPr="001D032A">
        <w:rPr>
          <w:sz w:val="24"/>
          <w:szCs w:val="24"/>
          <w:lang w:val="cs-CZ"/>
        </w:rPr>
        <w:t>ČPZP: Výroční zpráva za rok 201</w:t>
      </w:r>
      <w:r w:rsidR="00616DA5" w:rsidRPr="001D032A">
        <w:rPr>
          <w:sz w:val="24"/>
          <w:szCs w:val="24"/>
          <w:lang w:val="cs-CZ"/>
        </w:rPr>
        <w:t>7</w:t>
      </w:r>
      <w:r w:rsidRPr="001D032A">
        <w:rPr>
          <w:sz w:val="24"/>
          <w:szCs w:val="24"/>
          <w:lang w:val="cs-CZ"/>
        </w:rPr>
        <w:t xml:space="preserve">, dostupné z: </w:t>
      </w:r>
    </w:p>
    <w:p w:rsidR="00623E06" w:rsidRPr="001D032A" w:rsidRDefault="00623E06" w:rsidP="005968D2">
      <w:pPr>
        <w:pStyle w:val="Odstavecseseznamem"/>
        <w:jc w:val="both"/>
        <w:rPr>
          <w:sz w:val="24"/>
          <w:szCs w:val="24"/>
          <w:lang w:val="cs-CZ"/>
        </w:rPr>
      </w:pPr>
      <w:r w:rsidRPr="001D032A">
        <w:rPr>
          <w:sz w:val="24"/>
          <w:szCs w:val="24"/>
          <w:lang w:val="cs-CZ"/>
        </w:rPr>
        <w:t>https://www.cpzp.cz/clanek/50-0-Ekonomicke-informace.html</w:t>
      </w:r>
    </w:p>
    <w:p w:rsidR="00906144" w:rsidRPr="001D032A" w:rsidRDefault="00906144" w:rsidP="00623E06">
      <w:pPr>
        <w:pStyle w:val="Odstavecseseznamem"/>
        <w:numPr>
          <w:ilvl w:val="0"/>
          <w:numId w:val="37"/>
        </w:numPr>
        <w:jc w:val="both"/>
        <w:rPr>
          <w:sz w:val="24"/>
          <w:szCs w:val="24"/>
          <w:lang w:val="cs-CZ"/>
        </w:rPr>
      </w:pPr>
      <w:r w:rsidRPr="001D032A">
        <w:rPr>
          <w:sz w:val="24"/>
          <w:szCs w:val="24"/>
          <w:lang w:val="cs-CZ"/>
        </w:rPr>
        <w:t>MINISTERSTVO FINANCÍ ČR: Makroekonomická p</w:t>
      </w:r>
      <w:r w:rsidR="005968D2" w:rsidRPr="001D032A">
        <w:rPr>
          <w:sz w:val="24"/>
          <w:szCs w:val="24"/>
          <w:lang w:val="cs-CZ"/>
        </w:rPr>
        <w:t>r</w:t>
      </w:r>
      <w:r w:rsidRPr="001D032A">
        <w:rPr>
          <w:sz w:val="24"/>
          <w:szCs w:val="24"/>
          <w:lang w:val="cs-CZ"/>
        </w:rPr>
        <w:t>edikce České republiky</w:t>
      </w:r>
      <w:r w:rsidR="00B30E59" w:rsidRPr="001D032A">
        <w:rPr>
          <w:sz w:val="24"/>
          <w:szCs w:val="24"/>
          <w:lang w:val="cs-CZ"/>
        </w:rPr>
        <w:t xml:space="preserve"> (červenec 201</w:t>
      </w:r>
      <w:r w:rsidR="00B03AD6" w:rsidRPr="001D032A">
        <w:rPr>
          <w:sz w:val="24"/>
          <w:szCs w:val="24"/>
          <w:lang w:val="cs-CZ"/>
        </w:rPr>
        <w:t>8</w:t>
      </w:r>
      <w:r w:rsidR="00B30E59" w:rsidRPr="001D032A">
        <w:rPr>
          <w:sz w:val="24"/>
          <w:szCs w:val="24"/>
          <w:lang w:val="cs-CZ"/>
        </w:rPr>
        <w:t>)</w:t>
      </w:r>
      <w:r w:rsidRPr="001D032A">
        <w:rPr>
          <w:sz w:val="24"/>
          <w:szCs w:val="24"/>
          <w:lang w:val="cs-CZ"/>
        </w:rPr>
        <w:t xml:space="preserve">, </w:t>
      </w:r>
      <w:r w:rsidR="00B30E59" w:rsidRPr="001D032A">
        <w:rPr>
          <w:sz w:val="24"/>
          <w:szCs w:val="24"/>
          <w:lang w:val="cs-CZ"/>
        </w:rPr>
        <w:t>Vláda ČR</w:t>
      </w:r>
    </w:p>
    <w:p w:rsidR="00B30E59" w:rsidRPr="001D032A" w:rsidRDefault="00B30E59" w:rsidP="00623E06">
      <w:pPr>
        <w:pStyle w:val="Odstavecseseznamem"/>
        <w:numPr>
          <w:ilvl w:val="0"/>
          <w:numId w:val="37"/>
        </w:numPr>
        <w:jc w:val="both"/>
        <w:rPr>
          <w:sz w:val="24"/>
          <w:szCs w:val="24"/>
          <w:lang w:val="cs-CZ"/>
        </w:rPr>
      </w:pPr>
      <w:r w:rsidRPr="001D032A">
        <w:rPr>
          <w:sz w:val="24"/>
          <w:szCs w:val="24"/>
          <w:lang w:val="cs-CZ"/>
        </w:rPr>
        <w:t>MINISTERSTVO ZDRAVOTNICTVÍ ČR: Souhrnné hodnocení předpokládaného vývoje systému veřejného zdravotního pojištění v roce 201</w:t>
      </w:r>
      <w:r w:rsidR="001C2F25" w:rsidRPr="001D032A">
        <w:rPr>
          <w:sz w:val="24"/>
          <w:szCs w:val="24"/>
          <w:lang w:val="cs-CZ"/>
        </w:rPr>
        <w:t>7</w:t>
      </w:r>
      <w:r w:rsidRPr="001D032A">
        <w:rPr>
          <w:sz w:val="24"/>
          <w:szCs w:val="24"/>
          <w:lang w:val="cs-CZ"/>
        </w:rPr>
        <w:t>, Vláda ČR.</w:t>
      </w:r>
    </w:p>
    <w:p w:rsidR="003E1B90" w:rsidRPr="001D032A" w:rsidRDefault="003E1B90" w:rsidP="00623E06">
      <w:pPr>
        <w:pStyle w:val="Odstavecseseznamem"/>
        <w:numPr>
          <w:ilvl w:val="0"/>
          <w:numId w:val="37"/>
        </w:numPr>
        <w:jc w:val="both"/>
        <w:rPr>
          <w:sz w:val="24"/>
          <w:szCs w:val="24"/>
          <w:lang w:val="cs-CZ"/>
        </w:rPr>
      </w:pPr>
      <w:r w:rsidRPr="001D032A">
        <w:rPr>
          <w:sz w:val="24"/>
          <w:szCs w:val="24"/>
          <w:lang w:val="cs-CZ"/>
        </w:rPr>
        <w:t xml:space="preserve">MINISTERSTVO ZDRAVOTNICTVÍ ČR: Souhrnné hodnocení </w:t>
      </w:r>
      <w:r w:rsidR="00B30E59" w:rsidRPr="001D032A">
        <w:rPr>
          <w:sz w:val="24"/>
          <w:szCs w:val="24"/>
          <w:lang w:val="cs-CZ"/>
        </w:rPr>
        <w:t xml:space="preserve">předpokládaného </w:t>
      </w:r>
      <w:r w:rsidRPr="001D032A">
        <w:rPr>
          <w:sz w:val="24"/>
          <w:szCs w:val="24"/>
          <w:lang w:val="cs-CZ"/>
        </w:rPr>
        <w:t>vývoje systému veřejného z</w:t>
      </w:r>
      <w:r w:rsidR="00906144" w:rsidRPr="001D032A">
        <w:rPr>
          <w:sz w:val="24"/>
          <w:szCs w:val="24"/>
          <w:lang w:val="cs-CZ"/>
        </w:rPr>
        <w:t>dravotního pojištění v roce 201</w:t>
      </w:r>
      <w:r w:rsidR="001C2F25" w:rsidRPr="001D032A">
        <w:rPr>
          <w:sz w:val="24"/>
          <w:szCs w:val="24"/>
          <w:lang w:val="cs-CZ"/>
        </w:rPr>
        <w:t>8</w:t>
      </w:r>
      <w:r w:rsidRPr="001D032A">
        <w:rPr>
          <w:sz w:val="24"/>
          <w:szCs w:val="24"/>
          <w:lang w:val="cs-CZ"/>
        </w:rPr>
        <w:t>, Vláda ČR.</w:t>
      </w:r>
    </w:p>
    <w:p w:rsidR="00B30E59" w:rsidRPr="001D032A" w:rsidRDefault="00B30E59" w:rsidP="00623E06">
      <w:pPr>
        <w:pStyle w:val="Odstavecseseznamem"/>
        <w:numPr>
          <w:ilvl w:val="0"/>
          <w:numId w:val="37"/>
        </w:numPr>
        <w:jc w:val="both"/>
        <w:rPr>
          <w:sz w:val="24"/>
          <w:szCs w:val="24"/>
          <w:lang w:val="cs-CZ"/>
        </w:rPr>
      </w:pPr>
      <w:r w:rsidRPr="001D032A">
        <w:rPr>
          <w:sz w:val="24"/>
          <w:szCs w:val="24"/>
          <w:lang w:val="cs-CZ"/>
        </w:rPr>
        <w:t>MINISTERSTVO ZDRAVOTNICTVÍ ČR: Hodnocení zdravotně pojistných plánů jednotlivých činných zdravotních pojišťoven na rok 201</w:t>
      </w:r>
      <w:r w:rsidR="001C2F25" w:rsidRPr="001D032A">
        <w:rPr>
          <w:sz w:val="24"/>
          <w:szCs w:val="24"/>
          <w:lang w:val="cs-CZ"/>
        </w:rPr>
        <w:t>7</w:t>
      </w:r>
      <w:r w:rsidRPr="001D032A">
        <w:rPr>
          <w:sz w:val="24"/>
          <w:szCs w:val="24"/>
          <w:lang w:val="cs-CZ"/>
        </w:rPr>
        <w:t>, Vláda ČR.</w:t>
      </w:r>
    </w:p>
    <w:p w:rsidR="003E1B90" w:rsidRPr="001D032A" w:rsidRDefault="003E1B90" w:rsidP="00623E06">
      <w:pPr>
        <w:pStyle w:val="Odstavecseseznamem"/>
        <w:numPr>
          <w:ilvl w:val="0"/>
          <w:numId w:val="37"/>
        </w:numPr>
        <w:jc w:val="both"/>
        <w:rPr>
          <w:sz w:val="24"/>
          <w:szCs w:val="24"/>
          <w:lang w:val="cs-CZ"/>
        </w:rPr>
      </w:pPr>
      <w:r w:rsidRPr="001D032A">
        <w:rPr>
          <w:sz w:val="24"/>
          <w:szCs w:val="24"/>
          <w:lang w:val="cs-CZ"/>
        </w:rPr>
        <w:t>MINISTERSTVO ZDRAVOTNICTVÍ ČR: Hodnocení zdravotně pojistných plánů jednotlivých činných zd</w:t>
      </w:r>
      <w:r w:rsidR="00906144" w:rsidRPr="001D032A">
        <w:rPr>
          <w:sz w:val="24"/>
          <w:szCs w:val="24"/>
          <w:lang w:val="cs-CZ"/>
        </w:rPr>
        <w:t>ravotních pojišťoven na rok 201</w:t>
      </w:r>
      <w:r w:rsidR="001C2F25" w:rsidRPr="001D032A">
        <w:rPr>
          <w:sz w:val="24"/>
          <w:szCs w:val="24"/>
          <w:lang w:val="cs-CZ"/>
        </w:rPr>
        <w:t>8</w:t>
      </w:r>
      <w:r w:rsidRPr="001D032A">
        <w:rPr>
          <w:sz w:val="24"/>
          <w:szCs w:val="24"/>
          <w:lang w:val="cs-CZ"/>
        </w:rPr>
        <w:t>, Vláda ČR.</w:t>
      </w:r>
    </w:p>
    <w:p w:rsidR="005968D2" w:rsidRPr="001D032A" w:rsidRDefault="005968D2" w:rsidP="005968D2">
      <w:pPr>
        <w:pStyle w:val="Odstavecseseznamem"/>
        <w:numPr>
          <w:ilvl w:val="0"/>
          <w:numId w:val="37"/>
        </w:numPr>
        <w:jc w:val="both"/>
        <w:rPr>
          <w:sz w:val="24"/>
          <w:szCs w:val="24"/>
          <w:lang w:val="cs-CZ"/>
        </w:rPr>
      </w:pPr>
      <w:r w:rsidRPr="001D032A">
        <w:rPr>
          <w:sz w:val="24"/>
          <w:szCs w:val="24"/>
          <w:lang w:val="cs-CZ"/>
        </w:rPr>
        <w:t>OZP: Výroční zpráva za rok 201</w:t>
      </w:r>
      <w:r w:rsidR="001C2F25" w:rsidRPr="001D032A">
        <w:rPr>
          <w:sz w:val="24"/>
          <w:szCs w:val="24"/>
          <w:lang w:val="cs-CZ"/>
        </w:rPr>
        <w:t>7</w:t>
      </w:r>
      <w:r w:rsidRPr="001D032A">
        <w:rPr>
          <w:sz w:val="24"/>
          <w:szCs w:val="24"/>
          <w:lang w:val="cs-CZ"/>
        </w:rPr>
        <w:t xml:space="preserve">, dostupné z: </w:t>
      </w:r>
    </w:p>
    <w:p w:rsidR="005968D2" w:rsidRPr="001D032A" w:rsidRDefault="005968D2" w:rsidP="005968D2">
      <w:pPr>
        <w:pStyle w:val="Odstavecseseznamem"/>
        <w:jc w:val="both"/>
        <w:rPr>
          <w:sz w:val="24"/>
          <w:szCs w:val="24"/>
          <w:lang w:val="cs-CZ"/>
        </w:rPr>
      </w:pPr>
      <w:r w:rsidRPr="001D032A">
        <w:rPr>
          <w:sz w:val="24"/>
          <w:szCs w:val="24"/>
          <w:lang w:val="cs-CZ"/>
        </w:rPr>
        <w:t>http://www.ozp.cz/tiskove-centrum/vyrocni-zpravy</w:t>
      </w:r>
    </w:p>
    <w:p w:rsidR="005968D2" w:rsidRPr="001D032A" w:rsidRDefault="005968D2" w:rsidP="005968D2">
      <w:pPr>
        <w:pStyle w:val="Odstavecseseznamem"/>
        <w:numPr>
          <w:ilvl w:val="0"/>
          <w:numId w:val="37"/>
        </w:numPr>
        <w:jc w:val="both"/>
        <w:rPr>
          <w:sz w:val="24"/>
          <w:szCs w:val="24"/>
          <w:lang w:val="cs-CZ"/>
        </w:rPr>
      </w:pPr>
      <w:r w:rsidRPr="001D032A">
        <w:rPr>
          <w:sz w:val="24"/>
          <w:szCs w:val="24"/>
          <w:lang w:val="cs-CZ"/>
        </w:rPr>
        <w:t>RBP: Výroční zpráva za rok 201</w:t>
      </w:r>
      <w:r w:rsidR="001C2F25" w:rsidRPr="001D032A">
        <w:rPr>
          <w:sz w:val="24"/>
          <w:szCs w:val="24"/>
          <w:lang w:val="cs-CZ"/>
        </w:rPr>
        <w:t>7</w:t>
      </w:r>
      <w:r w:rsidRPr="001D032A">
        <w:rPr>
          <w:sz w:val="24"/>
          <w:szCs w:val="24"/>
          <w:lang w:val="cs-CZ"/>
        </w:rPr>
        <w:t xml:space="preserve">, dostupné z: </w:t>
      </w:r>
    </w:p>
    <w:p w:rsidR="005968D2" w:rsidRPr="001D032A" w:rsidRDefault="005968D2" w:rsidP="005968D2">
      <w:pPr>
        <w:pStyle w:val="Odstavecseseznamem"/>
        <w:jc w:val="both"/>
        <w:rPr>
          <w:sz w:val="24"/>
          <w:szCs w:val="24"/>
          <w:lang w:val="cs-CZ"/>
        </w:rPr>
      </w:pPr>
      <w:r w:rsidRPr="001D032A">
        <w:rPr>
          <w:sz w:val="24"/>
          <w:szCs w:val="24"/>
          <w:lang w:val="cs-CZ"/>
        </w:rPr>
        <w:t>http://www.rbp-zp.cz/o-nas/vyrocni-zpravy/</w:t>
      </w:r>
    </w:p>
    <w:p w:rsidR="005968D2" w:rsidRPr="001D032A" w:rsidRDefault="005968D2" w:rsidP="005968D2">
      <w:pPr>
        <w:pStyle w:val="Odstavecseseznamem"/>
        <w:numPr>
          <w:ilvl w:val="0"/>
          <w:numId w:val="37"/>
        </w:numPr>
        <w:jc w:val="both"/>
        <w:rPr>
          <w:sz w:val="24"/>
          <w:szCs w:val="24"/>
          <w:lang w:val="cs-CZ"/>
        </w:rPr>
      </w:pPr>
      <w:r w:rsidRPr="001D032A">
        <w:rPr>
          <w:sz w:val="24"/>
          <w:szCs w:val="24"/>
          <w:lang w:val="cs-CZ"/>
        </w:rPr>
        <w:t>VoZP ČR: Výroční zpráva za rok 201</w:t>
      </w:r>
      <w:r w:rsidR="001C2F25" w:rsidRPr="001D032A">
        <w:rPr>
          <w:sz w:val="24"/>
          <w:szCs w:val="24"/>
          <w:lang w:val="cs-CZ"/>
        </w:rPr>
        <w:t>7</w:t>
      </w:r>
      <w:r w:rsidRPr="001D032A">
        <w:rPr>
          <w:sz w:val="24"/>
          <w:szCs w:val="24"/>
          <w:lang w:val="cs-CZ"/>
        </w:rPr>
        <w:t xml:space="preserve">, dostupné z: </w:t>
      </w:r>
    </w:p>
    <w:p w:rsidR="005968D2" w:rsidRPr="001D032A" w:rsidRDefault="005968D2" w:rsidP="005968D2">
      <w:pPr>
        <w:pStyle w:val="Odstavecseseznamem"/>
        <w:jc w:val="both"/>
        <w:rPr>
          <w:sz w:val="24"/>
          <w:szCs w:val="24"/>
          <w:lang w:val="cs-CZ"/>
        </w:rPr>
      </w:pPr>
      <w:r w:rsidRPr="001D032A">
        <w:rPr>
          <w:sz w:val="24"/>
          <w:szCs w:val="24"/>
          <w:lang w:val="cs-CZ"/>
        </w:rPr>
        <w:t>https://www.vozp.cz/cs/o-pojistovne/tiskovy-servis/vyrocni-zpravy/</w:t>
      </w:r>
    </w:p>
    <w:p w:rsidR="005968D2" w:rsidRPr="001D032A" w:rsidRDefault="00B30E59" w:rsidP="00623E06">
      <w:pPr>
        <w:pStyle w:val="Odstavecseseznamem"/>
        <w:numPr>
          <w:ilvl w:val="0"/>
          <w:numId w:val="37"/>
        </w:numPr>
        <w:jc w:val="both"/>
        <w:rPr>
          <w:sz w:val="24"/>
          <w:szCs w:val="24"/>
          <w:lang w:val="cs-CZ"/>
        </w:rPr>
      </w:pPr>
      <w:r w:rsidRPr="001D032A">
        <w:rPr>
          <w:sz w:val="24"/>
          <w:szCs w:val="24"/>
          <w:lang w:val="cs-CZ"/>
        </w:rPr>
        <w:t>VZP ČR: Výroční zpráva za rok 201</w:t>
      </w:r>
      <w:r w:rsidR="001C2F25" w:rsidRPr="001D032A">
        <w:rPr>
          <w:sz w:val="24"/>
          <w:szCs w:val="24"/>
          <w:lang w:val="cs-CZ"/>
        </w:rPr>
        <w:t>7</w:t>
      </w:r>
      <w:r w:rsidRPr="001D032A">
        <w:rPr>
          <w:sz w:val="24"/>
          <w:szCs w:val="24"/>
          <w:lang w:val="cs-CZ"/>
        </w:rPr>
        <w:t xml:space="preserve">, dostupné z: </w:t>
      </w:r>
    </w:p>
    <w:p w:rsidR="00B30E59" w:rsidRPr="001D032A" w:rsidRDefault="00B30E59" w:rsidP="005968D2">
      <w:pPr>
        <w:pStyle w:val="Odstavecseseznamem"/>
        <w:jc w:val="both"/>
        <w:rPr>
          <w:sz w:val="24"/>
          <w:szCs w:val="24"/>
          <w:lang w:val="cs-CZ"/>
        </w:rPr>
      </w:pPr>
      <w:r w:rsidRPr="001D032A">
        <w:rPr>
          <w:sz w:val="24"/>
          <w:szCs w:val="24"/>
          <w:lang w:val="cs-CZ"/>
        </w:rPr>
        <w:t>https://www.vzp.cz/o-nas/dokumenty/vyrocni-zpravy</w:t>
      </w:r>
    </w:p>
    <w:p w:rsidR="005968D2" w:rsidRPr="001D032A" w:rsidRDefault="00623E06" w:rsidP="00623E06">
      <w:pPr>
        <w:pStyle w:val="Odstavecseseznamem"/>
        <w:numPr>
          <w:ilvl w:val="0"/>
          <w:numId w:val="37"/>
        </w:numPr>
        <w:jc w:val="both"/>
        <w:rPr>
          <w:sz w:val="24"/>
          <w:szCs w:val="24"/>
          <w:lang w:val="cs-CZ"/>
        </w:rPr>
      </w:pPr>
      <w:bookmarkStart w:id="253" w:name="_Toc460456871"/>
      <w:r w:rsidRPr="001D032A">
        <w:rPr>
          <w:sz w:val="24"/>
          <w:szCs w:val="24"/>
          <w:lang w:val="cs-CZ"/>
        </w:rPr>
        <w:t>ZP MV ČR: Výroční zpráva za rok 201</w:t>
      </w:r>
      <w:r w:rsidR="001C2F25" w:rsidRPr="001D032A">
        <w:rPr>
          <w:sz w:val="24"/>
          <w:szCs w:val="24"/>
          <w:lang w:val="cs-CZ"/>
        </w:rPr>
        <w:t>7</w:t>
      </w:r>
      <w:r w:rsidRPr="001D032A">
        <w:rPr>
          <w:sz w:val="24"/>
          <w:szCs w:val="24"/>
          <w:lang w:val="cs-CZ"/>
        </w:rPr>
        <w:t>, dostupné z:</w:t>
      </w:r>
    </w:p>
    <w:p w:rsidR="001C2F25" w:rsidRPr="001D032A" w:rsidRDefault="001C2F25" w:rsidP="001C2F25">
      <w:pPr>
        <w:pStyle w:val="Odstavecseseznamem"/>
        <w:jc w:val="both"/>
        <w:rPr>
          <w:sz w:val="24"/>
          <w:szCs w:val="24"/>
          <w:lang w:val="cs-CZ"/>
        </w:rPr>
      </w:pPr>
      <w:r w:rsidRPr="001D032A">
        <w:rPr>
          <w:sz w:val="24"/>
          <w:szCs w:val="24"/>
          <w:lang w:val="cs-CZ"/>
        </w:rPr>
        <w:t xml:space="preserve">https://www.zpmvcr.cz/o-nas/dokumenty/vyrocni-zpravy/ </w:t>
      </w:r>
    </w:p>
    <w:p w:rsidR="005968D2" w:rsidRPr="001D032A" w:rsidRDefault="005968D2" w:rsidP="005968D2">
      <w:pPr>
        <w:pStyle w:val="Odstavecseseznamem"/>
        <w:numPr>
          <w:ilvl w:val="0"/>
          <w:numId w:val="37"/>
        </w:numPr>
        <w:jc w:val="both"/>
        <w:rPr>
          <w:sz w:val="24"/>
          <w:szCs w:val="24"/>
          <w:lang w:val="cs-CZ"/>
        </w:rPr>
      </w:pPr>
      <w:r w:rsidRPr="001D032A">
        <w:rPr>
          <w:sz w:val="24"/>
          <w:szCs w:val="24"/>
          <w:lang w:val="cs-CZ"/>
        </w:rPr>
        <w:t>ZPŠ: Výroční zpráva za rok 201</w:t>
      </w:r>
      <w:r w:rsidR="001C2F25" w:rsidRPr="001D032A">
        <w:rPr>
          <w:sz w:val="24"/>
          <w:szCs w:val="24"/>
          <w:lang w:val="cs-CZ"/>
        </w:rPr>
        <w:t>7</w:t>
      </w:r>
      <w:r w:rsidRPr="001D032A">
        <w:rPr>
          <w:sz w:val="24"/>
          <w:szCs w:val="24"/>
          <w:lang w:val="cs-CZ"/>
        </w:rPr>
        <w:t xml:space="preserve">, dostupné z: </w:t>
      </w:r>
    </w:p>
    <w:p w:rsidR="005968D2" w:rsidRPr="001D032A" w:rsidRDefault="005968D2" w:rsidP="005968D2">
      <w:pPr>
        <w:pStyle w:val="Odstavecseseznamem"/>
        <w:jc w:val="both"/>
        <w:rPr>
          <w:sz w:val="24"/>
          <w:szCs w:val="24"/>
          <w:lang w:val="cs-CZ"/>
        </w:rPr>
      </w:pPr>
      <w:r w:rsidRPr="001D032A">
        <w:rPr>
          <w:sz w:val="24"/>
          <w:szCs w:val="24"/>
          <w:lang w:val="cs-CZ"/>
        </w:rPr>
        <w:t>https://www.zpskoda.cz/o-nas/vyrocni-zpravy</w:t>
      </w:r>
    </w:p>
    <w:p w:rsidR="00155311" w:rsidRPr="001D032A" w:rsidRDefault="00155311" w:rsidP="003E1B90">
      <w:pPr>
        <w:pStyle w:val="Nadpis2"/>
      </w:pPr>
    </w:p>
    <w:p w:rsidR="003E1B90" w:rsidRPr="001D032A" w:rsidRDefault="003E1B90" w:rsidP="003E1B90">
      <w:pPr>
        <w:pStyle w:val="Nadpis2"/>
      </w:pPr>
      <w:bookmarkStart w:id="254" w:name="_Toc525944511"/>
      <w:r w:rsidRPr="001D032A">
        <w:t>Seznam tabulek a grafů</w:t>
      </w:r>
      <w:bookmarkEnd w:id="253"/>
      <w:bookmarkEnd w:id="254"/>
    </w:p>
    <w:p w:rsidR="00051CD2" w:rsidRPr="00051CD2" w:rsidRDefault="00CE6FBC">
      <w:pPr>
        <w:pStyle w:val="Obsah1"/>
        <w:tabs>
          <w:tab w:val="right" w:leader="dot" w:pos="9062"/>
        </w:tabs>
        <w:rPr>
          <w:noProof/>
          <w:sz w:val="24"/>
          <w:szCs w:val="24"/>
          <w:lang w:val="cs-CZ" w:eastAsia="cs-CZ" w:bidi="ar-SA"/>
        </w:rPr>
      </w:pPr>
      <w:r w:rsidRPr="00051CD2">
        <w:rPr>
          <w:sz w:val="24"/>
          <w:szCs w:val="24"/>
          <w:lang w:val="cs-CZ"/>
        </w:rPr>
        <w:fldChar w:fldCharType="begin"/>
      </w:r>
      <w:r w:rsidRPr="00051CD2">
        <w:rPr>
          <w:sz w:val="24"/>
          <w:szCs w:val="24"/>
          <w:lang w:val="cs-CZ"/>
        </w:rPr>
        <w:instrText xml:space="preserve"> TOC \h \z \t "Nadpis 3;1;NADPIS_HODNOCENÍ;1" </w:instrText>
      </w:r>
      <w:r w:rsidRPr="00051CD2">
        <w:rPr>
          <w:sz w:val="24"/>
          <w:szCs w:val="24"/>
          <w:lang w:val="cs-CZ"/>
        </w:rPr>
        <w:fldChar w:fldCharType="separate"/>
      </w:r>
      <w:hyperlink w:anchor="_Toc525944146" w:history="1">
        <w:r w:rsidR="00051CD2" w:rsidRPr="00051CD2">
          <w:rPr>
            <w:rStyle w:val="Hypertextovodkaz"/>
            <w:noProof/>
            <w:sz w:val="24"/>
            <w:szCs w:val="24"/>
          </w:rPr>
          <w:t>Tabulka 1: Hlavní makroekonomické indikátory</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_Toc525944146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6</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48" w:history="1">
        <w:r w:rsidR="00051CD2" w:rsidRPr="00051CD2">
          <w:rPr>
            <w:rStyle w:val="Hypertextovodkaz"/>
            <w:noProof/>
            <w:sz w:val="24"/>
            <w:szCs w:val="24"/>
          </w:rPr>
          <w:t>Graf 1: Stav peněžních prostředků pojišťoven ke konci roku 2018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_Toc525944148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7</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50" w:history="1">
        <w:r w:rsidR="00051CD2" w:rsidRPr="00051CD2">
          <w:rPr>
            <w:rStyle w:val="Hypertextovodkaz"/>
            <w:noProof/>
            <w:sz w:val="24"/>
            <w:szCs w:val="24"/>
          </w:rPr>
          <w:t>Graf 2: Plánovaná finanční zásoba ke konci roku 2018 ve dnech výdajů na péči</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_Toc525944150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8</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52" w:history="1">
        <w:r w:rsidR="00051CD2" w:rsidRPr="00051CD2">
          <w:rPr>
            <w:rStyle w:val="Hypertextovodkaz"/>
            <w:noProof/>
            <w:sz w:val="24"/>
            <w:szCs w:val="24"/>
          </w:rPr>
          <w:t>Tabulka 2: Struktura nákladů zdravotních pojišťoven</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_Toc525944152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9</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54" w:history="1">
        <w:r w:rsidR="00051CD2" w:rsidRPr="00051CD2">
          <w:rPr>
            <w:rStyle w:val="Hypertextovodkaz"/>
            <w:noProof/>
            <w:sz w:val="24"/>
            <w:szCs w:val="24"/>
          </w:rPr>
          <w:t>Tabulka 3: Přehled vybraných indikátorů zdravotních pojišťoven</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_Toc525944154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9</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57" w:history="1">
        <w:r w:rsidR="00051CD2" w:rsidRPr="00051CD2">
          <w:rPr>
            <w:rStyle w:val="Hypertextovodkaz"/>
            <w:noProof/>
            <w:sz w:val="24"/>
            <w:szCs w:val="24"/>
          </w:rPr>
          <w:t>Graf 3: Příjmy a výdaje VZP ČR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_Toc525944157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13</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60" w:history="1">
        <w:r w:rsidR="00051CD2" w:rsidRPr="00051CD2">
          <w:rPr>
            <w:rStyle w:val="Hypertextovodkaz"/>
            <w:noProof/>
            <w:sz w:val="24"/>
            <w:szCs w:val="24"/>
          </w:rPr>
          <w:t>Tabulka 4: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_Toc525944160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14</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62" w:history="1">
        <w:r w:rsidR="00051CD2" w:rsidRPr="00051CD2">
          <w:rPr>
            <w:rStyle w:val="Hypertextovodkaz"/>
            <w:noProof/>
            <w:sz w:val="24"/>
            <w:szCs w:val="24"/>
          </w:rPr>
          <w:t>Tabulka 5: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_Toc525944162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14</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64" w:history="1">
        <w:r w:rsidR="00051CD2" w:rsidRPr="00051CD2">
          <w:rPr>
            <w:rStyle w:val="Hypertextovodkaz"/>
            <w:noProof/>
            <w:sz w:val="24"/>
            <w:szCs w:val="24"/>
          </w:rPr>
          <w:t>Tabulka 6: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_Toc525944164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15</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68" w:history="1">
        <w:r w:rsidR="00051CD2" w:rsidRPr="00051CD2">
          <w:rPr>
            <w:rStyle w:val="Hypertextovodkaz"/>
            <w:noProof/>
            <w:sz w:val="24"/>
            <w:szCs w:val="24"/>
          </w:rPr>
          <w:t>Graf 4: Příjmy a výdaje VoZP ČR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_Toc525944168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16</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71" w:history="1">
        <w:r w:rsidR="00051CD2" w:rsidRPr="00051CD2">
          <w:rPr>
            <w:rStyle w:val="Hypertextovodkaz"/>
            <w:noProof/>
            <w:sz w:val="24"/>
            <w:szCs w:val="24"/>
          </w:rPr>
          <w:t>Tabulka 7: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_Toc525944171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17</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73" w:history="1">
        <w:r w:rsidR="00051CD2" w:rsidRPr="00051CD2">
          <w:rPr>
            <w:rStyle w:val="Hypertextovodkaz"/>
            <w:noProof/>
            <w:sz w:val="24"/>
            <w:szCs w:val="24"/>
          </w:rPr>
          <w:t>Tabulka 8: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_Toc525944173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18</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75" w:history="1">
        <w:r w:rsidR="00051CD2" w:rsidRPr="00051CD2">
          <w:rPr>
            <w:rStyle w:val="Hypertextovodkaz"/>
            <w:noProof/>
            <w:sz w:val="24"/>
            <w:szCs w:val="24"/>
          </w:rPr>
          <w:t>Tabulka 9: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_Toc525944175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18</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79" w:history="1">
        <w:r w:rsidR="00051CD2" w:rsidRPr="00051CD2">
          <w:rPr>
            <w:rStyle w:val="Hypertextovodkaz"/>
            <w:noProof/>
            <w:sz w:val="24"/>
            <w:szCs w:val="24"/>
          </w:rPr>
          <w:t>Graf 5: Příjmy a výdaje ČPZP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_Toc525944179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20</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82" w:history="1">
        <w:r w:rsidR="00051CD2" w:rsidRPr="00051CD2">
          <w:rPr>
            <w:rStyle w:val="Hypertextovodkaz"/>
            <w:noProof/>
            <w:sz w:val="24"/>
            <w:szCs w:val="24"/>
          </w:rPr>
          <w:t>Tabulka 10: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_Toc525944182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20</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84" w:history="1">
        <w:r w:rsidR="00051CD2" w:rsidRPr="00051CD2">
          <w:rPr>
            <w:rStyle w:val="Hypertextovodkaz"/>
            <w:noProof/>
            <w:sz w:val="24"/>
            <w:szCs w:val="24"/>
          </w:rPr>
          <w:t>Tabulka 11: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_Toc525944184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21</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86" w:history="1">
        <w:r w:rsidR="00051CD2" w:rsidRPr="00051CD2">
          <w:rPr>
            <w:rStyle w:val="Hypertextovodkaz"/>
            <w:noProof/>
            <w:sz w:val="24"/>
            <w:szCs w:val="24"/>
          </w:rPr>
          <w:t>Tabulka 12: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_Toc525944186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21</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90" w:history="1">
        <w:r w:rsidR="00051CD2" w:rsidRPr="00051CD2">
          <w:rPr>
            <w:rStyle w:val="Hypertextovodkaz"/>
            <w:noProof/>
            <w:sz w:val="24"/>
            <w:szCs w:val="24"/>
          </w:rPr>
          <w:t>Graf 6: Příjmy a výdaje OZP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_Toc525944190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23</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93" w:history="1">
        <w:r w:rsidR="00051CD2" w:rsidRPr="00051CD2">
          <w:rPr>
            <w:rStyle w:val="Hypertextovodkaz"/>
            <w:noProof/>
            <w:sz w:val="24"/>
            <w:szCs w:val="24"/>
          </w:rPr>
          <w:t>Tabulka 13: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_Toc525944193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24</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95" w:history="1">
        <w:r w:rsidR="00051CD2" w:rsidRPr="00051CD2">
          <w:rPr>
            <w:rStyle w:val="Hypertextovodkaz"/>
            <w:noProof/>
            <w:sz w:val="24"/>
            <w:szCs w:val="24"/>
          </w:rPr>
          <w:t>Tabulka 14: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_Toc525944195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24</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197" w:history="1">
        <w:r w:rsidR="00051CD2" w:rsidRPr="00051CD2">
          <w:rPr>
            <w:rStyle w:val="Hypertextovodkaz"/>
            <w:noProof/>
            <w:sz w:val="24"/>
            <w:szCs w:val="24"/>
          </w:rPr>
          <w:t>Tabulka 15: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_Toc525944197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25</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01" w:history="1">
        <w:r w:rsidR="00051CD2" w:rsidRPr="00051CD2">
          <w:rPr>
            <w:rStyle w:val="Hypertextovodkaz"/>
            <w:noProof/>
            <w:sz w:val="24"/>
            <w:szCs w:val="24"/>
          </w:rPr>
          <w:t>Graf 7: Příjmy a výdaje ZPŠ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_Toc525944201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26</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04" w:history="1">
        <w:r w:rsidR="00051CD2" w:rsidRPr="00051CD2">
          <w:rPr>
            <w:rStyle w:val="Hypertextovodkaz"/>
            <w:noProof/>
            <w:sz w:val="24"/>
            <w:szCs w:val="24"/>
          </w:rPr>
          <w:t>Tabulka 16: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_Toc525944204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27</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06" w:history="1">
        <w:r w:rsidR="00051CD2" w:rsidRPr="00051CD2">
          <w:rPr>
            <w:rStyle w:val="Hypertextovodkaz"/>
            <w:noProof/>
            <w:sz w:val="24"/>
            <w:szCs w:val="24"/>
          </w:rPr>
          <w:t>Tabulka 17: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_Toc525944206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28</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08" w:history="1">
        <w:r w:rsidR="00051CD2" w:rsidRPr="00051CD2">
          <w:rPr>
            <w:rStyle w:val="Hypertextovodkaz"/>
            <w:noProof/>
            <w:sz w:val="24"/>
            <w:szCs w:val="24"/>
          </w:rPr>
          <w:t>Tabulka 18: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_Toc525944208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28</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12" w:history="1">
        <w:r w:rsidR="00051CD2" w:rsidRPr="00051CD2">
          <w:rPr>
            <w:rStyle w:val="Hypertextovodkaz"/>
            <w:noProof/>
            <w:sz w:val="24"/>
            <w:szCs w:val="24"/>
          </w:rPr>
          <w:t>Graf 8: Příjmy a výdaje ZP MV ČR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_Toc525944212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30</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15" w:history="1">
        <w:r w:rsidR="00051CD2" w:rsidRPr="00051CD2">
          <w:rPr>
            <w:rStyle w:val="Hypertextovodkaz"/>
            <w:noProof/>
            <w:sz w:val="24"/>
            <w:szCs w:val="24"/>
          </w:rPr>
          <w:t>Tabulka 19: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_Toc525944215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31</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17" w:history="1">
        <w:r w:rsidR="00051CD2" w:rsidRPr="00051CD2">
          <w:rPr>
            <w:rStyle w:val="Hypertextovodkaz"/>
            <w:noProof/>
            <w:sz w:val="24"/>
            <w:szCs w:val="24"/>
          </w:rPr>
          <w:t>Tabulka 20: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_Toc525944217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32</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19" w:history="1">
        <w:r w:rsidR="00051CD2" w:rsidRPr="00051CD2">
          <w:rPr>
            <w:rStyle w:val="Hypertextovodkaz"/>
            <w:noProof/>
            <w:sz w:val="24"/>
            <w:szCs w:val="24"/>
          </w:rPr>
          <w:t>Tabulka 21: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_Toc525944219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32</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23" w:history="1">
        <w:r w:rsidR="00051CD2" w:rsidRPr="00051CD2">
          <w:rPr>
            <w:rStyle w:val="Hypertextovodkaz"/>
            <w:noProof/>
            <w:sz w:val="24"/>
            <w:szCs w:val="24"/>
          </w:rPr>
          <w:t>Graf 9: Příjmy a výdaje RBP v milionech Kč</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_Toc525944223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34</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26" w:history="1">
        <w:r w:rsidR="00051CD2" w:rsidRPr="00051CD2">
          <w:rPr>
            <w:rStyle w:val="Hypertextovodkaz"/>
            <w:noProof/>
            <w:sz w:val="24"/>
            <w:szCs w:val="24"/>
          </w:rPr>
          <w:t>Tabulka 22: Soustava smluvních poskytovatelů zdravotních služeb</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_Toc525944226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35</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28" w:history="1">
        <w:r w:rsidR="00051CD2" w:rsidRPr="00051CD2">
          <w:rPr>
            <w:rStyle w:val="Hypertextovodkaz"/>
            <w:noProof/>
            <w:sz w:val="24"/>
            <w:szCs w:val="24"/>
          </w:rPr>
          <w:t>Tabulka 23: Struktura nákladů na zdravotní služby podle jednotlivých segmentů</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_Toc525944228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35</w:t>
        </w:r>
        <w:r w:rsidR="00051CD2" w:rsidRPr="00051CD2">
          <w:rPr>
            <w:noProof/>
            <w:webHidden/>
            <w:sz w:val="24"/>
            <w:szCs w:val="24"/>
          </w:rPr>
          <w:fldChar w:fldCharType="end"/>
        </w:r>
      </w:hyperlink>
    </w:p>
    <w:p w:rsidR="00051CD2" w:rsidRPr="00051CD2" w:rsidRDefault="005A1CC4">
      <w:pPr>
        <w:pStyle w:val="Obsah1"/>
        <w:tabs>
          <w:tab w:val="right" w:leader="dot" w:pos="9062"/>
        </w:tabs>
        <w:rPr>
          <w:noProof/>
          <w:sz w:val="24"/>
          <w:szCs w:val="24"/>
          <w:lang w:val="cs-CZ" w:eastAsia="cs-CZ" w:bidi="ar-SA"/>
        </w:rPr>
      </w:pPr>
      <w:hyperlink w:anchor="_Toc525944230" w:history="1">
        <w:r w:rsidR="00051CD2" w:rsidRPr="00051CD2">
          <w:rPr>
            <w:rStyle w:val="Hypertextovodkaz"/>
            <w:noProof/>
            <w:sz w:val="24"/>
            <w:szCs w:val="24"/>
          </w:rPr>
          <w:t>Tabulka 24: Náklady na preventivní zdravotní péči čerpané z fondu prevence</w:t>
        </w:r>
        <w:r w:rsidR="00051CD2" w:rsidRPr="00051CD2">
          <w:rPr>
            <w:noProof/>
            <w:webHidden/>
            <w:sz w:val="24"/>
            <w:szCs w:val="24"/>
          </w:rPr>
          <w:tab/>
        </w:r>
        <w:r w:rsidR="00051CD2" w:rsidRPr="00051CD2">
          <w:rPr>
            <w:noProof/>
            <w:webHidden/>
            <w:sz w:val="24"/>
            <w:szCs w:val="24"/>
          </w:rPr>
          <w:fldChar w:fldCharType="begin"/>
        </w:r>
        <w:r w:rsidR="00051CD2" w:rsidRPr="00051CD2">
          <w:rPr>
            <w:noProof/>
            <w:webHidden/>
            <w:sz w:val="24"/>
            <w:szCs w:val="24"/>
          </w:rPr>
          <w:instrText xml:space="preserve"> PAGEREF _Toc525944230 \h </w:instrText>
        </w:r>
        <w:r w:rsidR="00051CD2" w:rsidRPr="00051CD2">
          <w:rPr>
            <w:noProof/>
            <w:webHidden/>
            <w:sz w:val="24"/>
            <w:szCs w:val="24"/>
          </w:rPr>
        </w:r>
        <w:r w:rsidR="00051CD2" w:rsidRPr="00051CD2">
          <w:rPr>
            <w:noProof/>
            <w:webHidden/>
            <w:sz w:val="24"/>
            <w:szCs w:val="24"/>
          </w:rPr>
          <w:fldChar w:fldCharType="separate"/>
        </w:r>
        <w:r w:rsidR="00051CD2" w:rsidRPr="00051CD2">
          <w:rPr>
            <w:noProof/>
            <w:webHidden/>
            <w:sz w:val="24"/>
            <w:szCs w:val="24"/>
          </w:rPr>
          <w:t>36</w:t>
        </w:r>
        <w:r w:rsidR="00051CD2" w:rsidRPr="00051CD2">
          <w:rPr>
            <w:noProof/>
            <w:webHidden/>
            <w:sz w:val="24"/>
            <w:szCs w:val="24"/>
          </w:rPr>
          <w:fldChar w:fldCharType="end"/>
        </w:r>
      </w:hyperlink>
    </w:p>
    <w:p w:rsidR="00C65013" w:rsidRPr="001D032A" w:rsidRDefault="00CE6FBC" w:rsidP="00155311">
      <w:r w:rsidRPr="00051CD2">
        <w:rPr>
          <w:sz w:val="24"/>
          <w:szCs w:val="24"/>
        </w:rPr>
        <w:fldChar w:fldCharType="end"/>
      </w:r>
    </w:p>
    <w:sectPr w:rsidR="00C65013" w:rsidRPr="001D032A" w:rsidSect="00C65013">
      <w:footerReference w:type="defaul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C4" w:rsidRDefault="005A1CC4" w:rsidP="00C65013">
      <w:pPr>
        <w:spacing w:after="0" w:line="240" w:lineRule="auto"/>
      </w:pPr>
      <w:r>
        <w:separator/>
      </w:r>
    </w:p>
  </w:endnote>
  <w:endnote w:type="continuationSeparator" w:id="0">
    <w:p w:rsidR="005A1CC4" w:rsidRDefault="005A1CC4" w:rsidP="00C6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262059"/>
      <w:docPartObj>
        <w:docPartGallery w:val="Page Numbers (Bottom of Page)"/>
        <w:docPartUnique/>
      </w:docPartObj>
    </w:sdtPr>
    <w:sdtEndPr/>
    <w:sdtContent>
      <w:p w:rsidR="00581BF0" w:rsidRDefault="00581BF0">
        <w:r>
          <w:rPr>
            <w:noProof/>
            <w:lang w:eastAsia="cs-CZ"/>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Jednoduché závork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81BF0" w:rsidRDefault="00581BF0">
                              <w:pPr>
                                <w:jc w:val="center"/>
                              </w:pPr>
                              <w:r>
                                <w:fldChar w:fldCharType="begin"/>
                              </w:r>
                              <w:r>
                                <w:instrText>PAGE    \* MERGEFORMAT</w:instrText>
                              </w:r>
                              <w:r>
                                <w:fldChar w:fldCharType="separate"/>
                              </w:r>
                              <w:r w:rsidR="00CD1291">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Jednoduché závorky 2" o:spid="_x0000_s1032"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" filled="t" strokecolor="gray" strokeweight="2.25pt">
                  <v:textbox inset=",0,,0">
                    <w:txbxContent>
                      <w:p w:rsidR="00581BF0" w:rsidRDefault="00581BF0">
                        <w:pPr>
                          <w:jc w:val="center"/>
                        </w:pPr>
                        <w:r>
                          <w:fldChar w:fldCharType="begin"/>
                        </w:r>
                        <w:r>
                          <w:instrText>PAGE    \* MERGEFORMAT</w:instrText>
                        </w:r>
                        <w:r>
                          <w:fldChar w:fldCharType="separate"/>
                        </w:r>
                        <w:r w:rsidR="00CD1291">
                          <w:rPr>
                            <w:noProof/>
                          </w:rPr>
                          <w:t>3</w:t>
                        </w:r>
                        <w:r>
                          <w:fldChar w:fldCharType="end"/>
                        </w:r>
                      </w:p>
                    </w:txbxContent>
                  </v:textbox>
                  <w10:wrap anchorx="margin" anchory="margin"/>
                </v:shape>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9B2C45" id="_x0000_t32" coordsize="21600,21600" o:spt="32" o:oned="t" path="m,l21600,21600e" filled="f">
                  <v:path arrowok="t" fillok="f" o:connecttype="none"/>
                  <o:lock v:ext="edit" shapetype="t"/>
                </v:shapetype>
                <v:shape id="Přímá spojnice se šipkou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KnFBjk9AgAATwQAAA4AAAAAAAAAAAAA&#10;AAAALgIAAGRycy9lMm9Eb2MueG1sUEsBAi0AFAAGAAgAAAAhAPWmTdfXAAAAAgEAAA8AAAAAAAAA&#10;AAAAAAAAlwQAAGRycy9kb3ducmV2LnhtbFBLBQYAAAAABAAEAPMAAACb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C4" w:rsidRDefault="005A1CC4" w:rsidP="00C65013">
      <w:pPr>
        <w:spacing w:after="0" w:line="240" w:lineRule="auto"/>
      </w:pPr>
      <w:r>
        <w:separator/>
      </w:r>
    </w:p>
  </w:footnote>
  <w:footnote w:type="continuationSeparator" w:id="0">
    <w:p w:rsidR="005A1CC4" w:rsidRDefault="005A1CC4" w:rsidP="00C65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háček - žlutý"/>
      </v:shape>
    </w:pict>
  </w:numPicBullet>
  <w:abstractNum w:abstractNumId="0" w15:restartNumberingAfterBreak="0">
    <w:nsid w:val="00000002"/>
    <w:multiLevelType w:val="singleLevel"/>
    <w:tmpl w:val="00000002"/>
    <w:lvl w:ilvl="0">
      <w:start w:val="1"/>
      <w:numFmt w:val="decimal"/>
      <w:lvlText w:val="%1."/>
      <w:lvlJc w:val="left"/>
      <w:pPr>
        <w:tabs>
          <w:tab w:val="num" w:pos="0"/>
        </w:tabs>
        <w:ind w:left="502" w:hanging="360"/>
      </w:pPr>
      <w:rPr>
        <w:color w:val="auto"/>
      </w:rPr>
    </w:lvl>
  </w:abstractNum>
  <w:abstractNum w:abstractNumId="1" w15:restartNumberingAfterBreak="0">
    <w:nsid w:val="09A061CE"/>
    <w:multiLevelType w:val="hybridMultilevel"/>
    <w:tmpl w:val="91F02E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EF6211C"/>
    <w:multiLevelType w:val="hybridMultilevel"/>
    <w:tmpl w:val="B3345742"/>
    <w:lvl w:ilvl="0" w:tplc="5FB2B564">
      <w:numFmt w:val="bullet"/>
      <w:lvlText w:val="•"/>
      <w:lvlJc w:val="left"/>
      <w:pPr>
        <w:ind w:left="1418" w:hanging="705"/>
      </w:pPr>
      <w:rPr>
        <w:rFonts w:ascii="Arial" w:eastAsia="Times New Roman" w:hAnsi="Arial" w:cs="Arial" w:hint="default"/>
      </w:rPr>
    </w:lvl>
    <w:lvl w:ilvl="1" w:tplc="04050003" w:tentative="1">
      <w:start w:val="1"/>
      <w:numFmt w:val="bullet"/>
      <w:lvlText w:val="o"/>
      <w:lvlJc w:val="left"/>
      <w:pPr>
        <w:ind w:left="1793" w:hanging="360"/>
      </w:pPr>
      <w:rPr>
        <w:rFonts w:ascii="Courier New" w:hAnsi="Courier New" w:cs="Courier New" w:hint="default"/>
      </w:rPr>
    </w:lvl>
    <w:lvl w:ilvl="2" w:tplc="04050005" w:tentative="1">
      <w:start w:val="1"/>
      <w:numFmt w:val="bullet"/>
      <w:lvlText w:val=""/>
      <w:lvlJc w:val="left"/>
      <w:pPr>
        <w:ind w:left="2513" w:hanging="360"/>
      </w:pPr>
      <w:rPr>
        <w:rFonts w:ascii="Wingdings" w:hAnsi="Wingdings" w:hint="default"/>
      </w:rPr>
    </w:lvl>
    <w:lvl w:ilvl="3" w:tplc="04050001" w:tentative="1">
      <w:start w:val="1"/>
      <w:numFmt w:val="bullet"/>
      <w:lvlText w:val=""/>
      <w:lvlJc w:val="left"/>
      <w:pPr>
        <w:ind w:left="3233" w:hanging="360"/>
      </w:pPr>
      <w:rPr>
        <w:rFonts w:ascii="Symbol" w:hAnsi="Symbol" w:hint="default"/>
      </w:rPr>
    </w:lvl>
    <w:lvl w:ilvl="4" w:tplc="04050003" w:tentative="1">
      <w:start w:val="1"/>
      <w:numFmt w:val="bullet"/>
      <w:lvlText w:val="o"/>
      <w:lvlJc w:val="left"/>
      <w:pPr>
        <w:ind w:left="3953" w:hanging="360"/>
      </w:pPr>
      <w:rPr>
        <w:rFonts w:ascii="Courier New" w:hAnsi="Courier New" w:cs="Courier New" w:hint="default"/>
      </w:rPr>
    </w:lvl>
    <w:lvl w:ilvl="5" w:tplc="04050005" w:tentative="1">
      <w:start w:val="1"/>
      <w:numFmt w:val="bullet"/>
      <w:lvlText w:val=""/>
      <w:lvlJc w:val="left"/>
      <w:pPr>
        <w:ind w:left="4673" w:hanging="360"/>
      </w:pPr>
      <w:rPr>
        <w:rFonts w:ascii="Wingdings" w:hAnsi="Wingdings" w:hint="default"/>
      </w:rPr>
    </w:lvl>
    <w:lvl w:ilvl="6" w:tplc="04050001" w:tentative="1">
      <w:start w:val="1"/>
      <w:numFmt w:val="bullet"/>
      <w:lvlText w:val=""/>
      <w:lvlJc w:val="left"/>
      <w:pPr>
        <w:ind w:left="5393" w:hanging="360"/>
      </w:pPr>
      <w:rPr>
        <w:rFonts w:ascii="Symbol" w:hAnsi="Symbol" w:hint="default"/>
      </w:rPr>
    </w:lvl>
    <w:lvl w:ilvl="7" w:tplc="04050003" w:tentative="1">
      <w:start w:val="1"/>
      <w:numFmt w:val="bullet"/>
      <w:lvlText w:val="o"/>
      <w:lvlJc w:val="left"/>
      <w:pPr>
        <w:ind w:left="6113" w:hanging="360"/>
      </w:pPr>
      <w:rPr>
        <w:rFonts w:ascii="Courier New" w:hAnsi="Courier New" w:cs="Courier New" w:hint="default"/>
      </w:rPr>
    </w:lvl>
    <w:lvl w:ilvl="8" w:tplc="04050005" w:tentative="1">
      <w:start w:val="1"/>
      <w:numFmt w:val="bullet"/>
      <w:lvlText w:val=""/>
      <w:lvlJc w:val="left"/>
      <w:pPr>
        <w:ind w:left="6833" w:hanging="360"/>
      </w:pPr>
      <w:rPr>
        <w:rFonts w:ascii="Wingdings" w:hAnsi="Wingdings" w:hint="default"/>
      </w:rPr>
    </w:lvl>
  </w:abstractNum>
  <w:abstractNum w:abstractNumId="3" w15:restartNumberingAfterBreak="0">
    <w:nsid w:val="0F585567"/>
    <w:multiLevelType w:val="hybridMultilevel"/>
    <w:tmpl w:val="34762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1E0DBB"/>
    <w:multiLevelType w:val="hybridMultilevel"/>
    <w:tmpl w:val="59A21B7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705228"/>
    <w:multiLevelType w:val="multilevel"/>
    <w:tmpl w:val="776E2FD2"/>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8CA34ED"/>
    <w:multiLevelType w:val="hybridMultilevel"/>
    <w:tmpl w:val="6B864A7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C7759"/>
    <w:multiLevelType w:val="hybridMultilevel"/>
    <w:tmpl w:val="A12238F0"/>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B7F1B4F"/>
    <w:multiLevelType w:val="hybridMultilevel"/>
    <w:tmpl w:val="D41AA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AD2BC6"/>
    <w:multiLevelType w:val="hybridMultilevel"/>
    <w:tmpl w:val="E8ACCC44"/>
    <w:lvl w:ilvl="0" w:tplc="2162F034">
      <w:start w:val="1"/>
      <w:numFmt w:val="bullet"/>
      <w:lvlText w:val="●"/>
      <w:lvlJc w:val="left"/>
      <w:pPr>
        <w:tabs>
          <w:tab w:val="num" w:pos="720"/>
        </w:tabs>
        <w:ind w:left="720" w:hanging="360"/>
      </w:pPr>
      <w:rPr>
        <w:rFonts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04196"/>
    <w:multiLevelType w:val="hybridMultilevel"/>
    <w:tmpl w:val="6CB82848"/>
    <w:lvl w:ilvl="0" w:tplc="7BF4D352">
      <w:start w:val="1"/>
      <w:numFmt w:val="decimal"/>
      <w:lvlText w:val="%1."/>
      <w:lvlJc w:val="left"/>
      <w:pPr>
        <w:ind w:left="502" w:hanging="360"/>
      </w:pPr>
      <w:rPr>
        <w:rFonts w:ascii="Arial" w:eastAsia="Times New Roman"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7746E"/>
    <w:multiLevelType w:val="hybridMultilevel"/>
    <w:tmpl w:val="03BA4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D0829"/>
    <w:multiLevelType w:val="hybridMultilevel"/>
    <w:tmpl w:val="9A704D3E"/>
    <w:lvl w:ilvl="0" w:tplc="7910D41A">
      <w:start w:val="1"/>
      <w:numFmt w:val="decimal"/>
      <w:lvlText w:val="%1."/>
      <w:lvlJc w:val="left"/>
      <w:pPr>
        <w:tabs>
          <w:tab w:val="num" w:pos="720"/>
        </w:tabs>
        <w:ind w:left="720" w:hanging="360"/>
      </w:pPr>
      <w:rPr>
        <w:rFonts w:hint="default"/>
        <w:b w:val="0"/>
        <w:i w:val="0"/>
        <w:sz w:val="24"/>
        <w:szCs w:val="24"/>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15:restartNumberingAfterBreak="0">
    <w:nsid w:val="3E3A6DAA"/>
    <w:multiLevelType w:val="hybridMultilevel"/>
    <w:tmpl w:val="C576D500"/>
    <w:lvl w:ilvl="0" w:tplc="0D26D98C">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BE361F"/>
    <w:multiLevelType w:val="hybridMultilevel"/>
    <w:tmpl w:val="3D94BF48"/>
    <w:lvl w:ilvl="0" w:tplc="A4361F64">
      <w:start w:val="1"/>
      <w:numFmt w:val="bullet"/>
      <w:pStyle w:val="StylZaorkou6b"/>
      <w:lvlText w:val="o"/>
      <w:lvlJc w:val="left"/>
      <w:pPr>
        <w:ind w:left="720" w:hanging="360"/>
      </w:pPr>
      <w:rPr>
        <w:rFonts w:ascii="Courier New" w:hAnsi="Courier New" w:cs="Courier New"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7A249D"/>
    <w:multiLevelType w:val="multilevel"/>
    <w:tmpl w:val="865622FC"/>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935B2C"/>
    <w:multiLevelType w:val="hybridMultilevel"/>
    <w:tmpl w:val="21980B72"/>
    <w:lvl w:ilvl="0" w:tplc="26109B7A">
      <w:start w:val="1"/>
      <w:numFmt w:val="decimal"/>
      <w:lvlText w:val="%1."/>
      <w:lvlJc w:val="left"/>
      <w:pPr>
        <w:tabs>
          <w:tab w:val="num" w:pos="720"/>
        </w:tabs>
        <w:ind w:left="720" w:hanging="360"/>
      </w:pPr>
    </w:lvl>
    <w:lvl w:ilvl="1" w:tplc="1A84863E">
      <w:start w:val="1"/>
      <w:numFmt w:val="lowerLetter"/>
      <w:lvlText w:val="%2."/>
      <w:lvlJc w:val="left"/>
      <w:pPr>
        <w:tabs>
          <w:tab w:val="num" w:pos="1440"/>
        </w:tabs>
        <w:ind w:left="1440" w:hanging="360"/>
      </w:pPr>
    </w:lvl>
    <w:lvl w:ilvl="2" w:tplc="8DE40E64">
      <w:start w:val="1"/>
      <w:numFmt w:val="lowerRoman"/>
      <w:lvlText w:val="%3."/>
      <w:lvlJc w:val="right"/>
      <w:pPr>
        <w:tabs>
          <w:tab w:val="num" w:pos="2160"/>
        </w:tabs>
        <w:ind w:left="2160" w:hanging="180"/>
      </w:pPr>
    </w:lvl>
    <w:lvl w:ilvl="3" w:tplc="583E9CAC">
      <w:start w:val="1"/>
      <w:numFmt w:val="decimal"/>
      <w:lvlText w:val="%4."/>
      <w:lvlJc w:val="left"/>
      <w:pPr>
        <w:tabs>
          <w:tab w:val="num" w:pos="2880"/>
        </w:tabs>
        <w:ind w:left="2880" w:hanging="360"/>
      </w:pPr>
    </w:lvl>
    <w:lvl w:ilvl="4" w:tplc="FFD64D3E">
      <w:start w:val="1"/>
      <w:numFmt w:val="lowerLetter"/>
      <w:lvlText w:val="%5."/>
      <w:lvlJc w:val="left"/>
      <w:pPr>
        <w:tabs>
          <w:tab w:val="num" w:pos="3600"/>
        </w:tabs>
        <w:ind w:left="3600" w:hanging="360"/>
      </w:pPr>
    </w:lvl>
    <w:lvl w:ilvl="5" w:tplc="C5141D0E">
      <w:start w:val="1"/>
      <w:numFmt w:val="lowerRoman"/>
      <w:lvlText w:val="%6."/>
      <w:lvlJc w:val="right"/>
      <w:pPr>
        <w:tabs>
          <w:tab w:val="num" w:pos="4320"/>
        </w:tabs>
        <w:ind w:left="4320" w:hanging="180"/>
      </w:pPr>
    </w:lvl>
    <w:lvl w:ilvl="6" w:tplc="24E60442">
      <w:start w:val="1"/>
      <w:numFmt w:val="decimal"/>
      <w:lvlText w:val="%7."/>
      <w:lvlJc w:val="left"/>
      <w:pPr>
        <w:tabs>
          <w:tab w:val="num" w:pos="5040"/>
        </w:tabs>
        <w:ind w:left="5040" w:hanging="360"/>
      </w:pPr>
    </w:lvl>
    <w:lvl w:ilvl="7" w:tplc="A65CB3AA">
      <w:start w:val="1"/>
      <w:numFmt w:val="lowerLetter"/>
      <w:lvlText w:val="%8."/>
      <w:lvlJc w:val="left"/>
      <w:pPr>
        <w:tabs>
          <w:tab w:val="num" w:pos="5760"/>
        </w:tabs>
        <w:ind w:left="5760" w:hanging="360"/>
      </w:pPr>
    </w:lvl>
    <w:lvl w:ilvl="8" w:tplc="23EC816A">
      <w:start w:val="1"/>
      <w:numFmt w:val="lowerRoman"/>
      <w:lvlText w:val="%9."/>
      <w:lvlJc w:val="right"/>
      <w:pPr>
        <w:tabs>
          <w:tab w:val="num" w:pos="6480"/>
        </w:tabs>
        <w:ind w:left="6480" w:hanging="180"/>
      </w:pPr>
    </w:lvl>
  </w:abstractNum>
  <w:abstractNum w:abstractNumId="17" w15:restartNumberingAfterBreak="0">
    <w:nsid w:val="42310E85"/>
    <w:multiLevelType w:val="hybridMultilevel"/>
    <w:tmpl w:val="681433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47877B2"/>
    <w:multiLevelType w:val="multilevel"/>
    <w:tmpl w:val="865622FC"/>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B838B4"/>
    <w:multiLevelType w:val="hybridMultilevel"/>
    <w:tmpl w:val="FF46D5C6"/>
    <w:lvl w:ilvl="0" w:tplc="483A62EA">
      <w:start w:val="1"/>
      <w:numFmt w:val="decimal"/>
      <w:lvlText w:val="%1."/>
      <w:lvlJc w:val="left"/>
      <w:pPr>
        <w:tabs>
          <w:tab w:val="num" w:pos="720"/>
        </w:tabs>
        <w:ind w:left="720" w:hanging="360"/>
      </w:pPr>
    </w:lvl>
    <w:lvl w:ilvl="1" w:tplc="2F1CAE3C" w:tentative="1">
      <w:start w:val="1"/>
      <w:numFmt w:val="lowerLetter"/>
      <w:lvlText w:val="%2."/>
      <w:lvlJc w:val="left"/>
      <w:pPr>
        <w:tabs>
          <w:tab w:val="num" w:pos="1440"/>
        </w:tabs>
        <w:ind w:left="1440" w:hanging="360"/>
      </w:pPr>
    </w:lvl>
    <w:lvl w:ilvl="2" w:tplc="DD48D728" w:tentative="1">
      <w:start w:val="1"/>
      <w:numFmt w:val="lowerRoman"/>
      <w:lvlText w:val="%3."/>
      <w:lvlJc w:val="right"/>
      <w:pPr>
        <w:tabs>
          <w:tab w:val="num" w:pos="2160"/>
        </w:tabs>
        <w:ind w:left="2160" w:hanging="180"/>
      </w:pPr>
    </w:lvl>
    <w:lvl w:ilvl="3" w:tplc="B4F6DD8E" w:tentative="1">
      <w:start w:val="1"/>
      <w:numFmt w:val="decimal"/>
      <w:lvlText w:val="%4."/>
      <w:lvlJc w:val="left"/>
      <w:pPr>
        <w:tabs>
          <w:tab w:val="num" w:pos="2880"/>
        </w:tabs>
        <w:ind w:left="2880" w:hanging="360"/>
      </w:pPr>
    </w:lvl>
    <w:lvl w:ilvl="4" w:tplc="0C4C2CA6" w:tentative="1">
      <w:start w:val="1"/>
      <w:numFmt w:val="lowerLetter"/>
      <w:lvlText w:val="%5."/>
      <w:lvlJc w:val="left"/>
      <w:pPr>
        <w:tabs>
          <w:tab w:val="num" w:pos="3600"/>
        </w:tabs>
        <w:ind w:left="3600" w:hanging="360"/>
      </w:pPr>
    </w:lvl>
    <w:lvl w:ilvl="5" w:tplc="43068BD6" w:tentative="1">
      <w:start w:val="1"/>
      <w:numFmt w:val="lowerRoman"/>
      <w:lvlText w:val="%6."/>
      <w:lvlJc w:val="right"/>
      <w:pPr>
        <w:tabs>
          <w:tab w:val="num" w:pos="4320"/>
        </w:tabs>
        <w:ind w:left="4320" w:hanging="180"/>
      </w:pPr>
    </w:lvl>
    <w:lvl w:ilvl="6" w:tplc="057EF466" w:tentative="1">
      <w:start w:val="1"/>
      <w:numFmt w:val="decimal"/>
      <w:lvlText w:val="%7."/>
      <w:lvlJc w:val="left"/>
      <w:pPr>
        <w:tabs>
          <w:tab w:val="num" w:pos="5040"/>
        </w:tabs>
        <w:ind w:left="5040" w:hanging="360"/>
      </w:pPr>
    </w:lvl>
    <w:lvl w:ilvl="7" w:tplc="6DBC28D2" w:tentative="1">
      <w:start w:val="1"/>
      <w:numFmt w:val="lowerLetter"/>
      <w:lvlText w:val="%8."/>
      <w:lvlJc w:val="left"/>
      <w:pPr>
        <w:tabs>
          <w:tab w:val="num" w:pos="5760"/>
        </w:tabs>
        <w:ind w:left="5760" w:hanging="360"/>
      </w:pPr>
    </w:lvl>
    <w:lvl w:ilvl="8" w:tplc="594AD328" w:tentative="1">
      <w:start w:val="1"/>
      <w:numFmt w:val="lowerRoman"/>
      <w:lvlText w:val="%9."/>
      <w:lvlJc w:val="right"/>
      <w:pPr>
        <w:tabs>
          <w:tab w:val="num" w:pos="6480"/>
        </w:tabs>
        <w:ind w:left="6480" w:hanging="180"/>
      </w:pPr>
    </w:lvl>
  </w:abstractNum>
  <w:abstractNum w:abstractNumId="20" w15:restartNumberingAfterBreak="0">
    <w:nsid w:val="47EB4DEE"/>
    <w:multiLevelType w:val="hybridMultilevel"/>
    <w:tmpl w:val="AF387FD2"/>
    <w:lvl w:ilvl="0" w:tplc="0405000F">
      <w:start w:val="1"/>
      <w:numFmt w:val="bullet"/>
      <w:lvlText w:val=""/>
      <w:lvlJc w:val="left"/>
      <w:pPr>
        <w:tabs>
          <w:tab w:val="num" w:pos="720"/>
        </w:tabs>
        <w:ind w:left="72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65BA1"/>
    <w:multiLevelType w:val="singleLevel"/>
    <w:tmpl w:val="CF987F42"/>
    <w:lvl w:ilvl="0">
      <w:start w:val="1"/>
      <w:numFmt w:val="decimal"/>
      <w:lvlText w:val="%1."/>
      <w:lvlJc w:val="left"/>
      <w:pPr>
        <w:tabs>
          <w:tab w:val="num" w:pos="0"/>
        </w:tabs>
        <w:ind w:left="502" w:hanging="360"/>
      </w:pPr>
      <w:rPr>
        <w:b w:val="0"/>
        <w:color w:val="auto"/>
      </w:rPr>
    </w:lvl>
  </w:abstractNum>
  <w:abstractNum w:abstractNumId="22" w15:restartNumberingAfterBreak="0">
    <w:nsid w:val="52303FE4"/>
    <w:multiLevelType w:val="hybridMultilevel"/>
    <w:tmpl w:val="6A407B7C"/>
    <w:lvl w:ilvl="0" w:tplc="0405000B">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2752816"/>
    <w:multiLevelType w:val="multilevel"/>
    <w:tmpl w:val="80805782"/>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3300F52"/>
    <w:multiLevelType w:val="hybridMultilevel"/>
    <w:tmpl w:val="C718960E"/>
    <w:lvl w:ilvl="0" w:tplc="BFA809E4">
      <w:start w:val="1"/>
      <w:numFmt w:val="bullet"/>
      <w:lvlText w:val=""/>
      <w:lvlJc w:val="left"/>
      <w:pPr>
        <w:tabs>
          <w:tab w:val="num" w:pos="1080"/>
        </w:tabs>
        <w:ind w:left="1080" w:hanging="360"/>
      </w:pPr>
      <w:rPr>
        <w:rFonts w:ascii="Wingdings" w:hAnsi="Wingdings" w:hint="default"/>
      </w:rPr>
    </w:lvl>
    <w:lvl w:ilvl="1" w:tplc="EBD29BF0" w:tentative="1">
      <w:start w:val="1"/>
      <w:numFmt w:val="bullet"/>
      <w:lvlText w:val="o"/>
      <w:lvlJc w:val="left"/>
      <w:pPr>
        <w:tabs>
          <w:tab w:val="num" w:pos="1800"/>
        </w:tabs>
        <w:ind w:left="1800" w:hanging="360"/>
      </w:pPr>
      <w:rPr>
        <w:rFonts w:ascii="Courier New" w:hAnsi="Courier New" w:cs="Courier New" w:hint="default"/>
      </w:rPr>
    </w:lvl>
    <w:lvl w:ilvl="2" w:tplc="D4AA12F8" w:tentative="1">
      <w:start w:val="1"/>
      <w:numFmt w:val="bullet"/>
      <w:lvlText w:val=""/>
      <w:lvlJc w:val="left"/>
      <w:pPr>
        <w:tabs>
          <w:tab w:val="num" w:pos="2520"/>
        </w:tabs>
        <w:ind w:left="2520" w:hanging="360"/>
      </w:pPr>
      <w:rPr>
        <w:rFonts w:ascii="Wingdings" w:hAnsi="Wingdings" w:hint="default"/>
      </w:rPr>
    </w:lvl>
    <w:lvl w:ilvl="3" w:tplc="3802EBBC" w:tentative="1">
      <w:start w:val="1"/>
      <w:numFmt w:val="bullet"/>
      <w:lvlText w:val=""/>
      <w:lvlJc w:val="left"/>
      <w:pPr>
        <w:tabs>
          <w:tab w:val="num" w:pos="3240"/>
        </w:tabs>
        <w:ind w:left="3240" w:hanging="360"/>
      </w:pPr>
      <w:rPr>
        <w:rFonts w:ascii="Symbol" w:hAnsi="Symbol" w:hint="default"/>
      </w:rPr>
    </w:lvl>
    <w:lvl w:ilvl="4" w:tplc="136C5326" w:tentative="1">
      <w:start w:val="1"/>
      <w:numFmt w:val="bullet"/>
      <w:lvlText w:val="o"/>
      <w:lvlJc w:val="left"/>
      <w:pPr>
        <w:tabs>
          <w:tab w:val="num" w:pos="3960"/>
        </w:tabs>
        <w:ind w:left="3960" w:hanging="360"/>
      </w:pPr>
      <w:rPr>
        <w:rFonts w:ascii="Courier New" w:hAnsi="Courier New" w:cs="Courier New" w:hint="default"/>
      </w:rPr>
    </w:lvl>
    <w:lvl w:ilvl="5" w:tplc="474A79EA" w:tentative="1">
      <w:start w:val="1"/>
      <w:numFmt w:val="bullet"/>
      <w:lvlText w:val=""/>
      <w:lvlJc w:val="left"/>
      <w:pPr>
        <w:tabs>
          <w:tab w:val="num" w:pos="4680"/>
        </w:tabs>
        <w:ind w:left="4680" w:hanging="360"/>
      </w:pPr>
      <w:rPr>
        <w:rFonts w:ascii="Wingdings" w:hAnsi="Wingdings" w:hint="default"/>
      </w:rPr>
    </w:lvl>
    <w:lvl w:ilvl="6" w:tplc="648259EC" w:tentative="1">
      <w:start w:val="1"/>
      <w:numFmt w:val="bullet"/>
      <w:lvlText w:val=""/>
      <w:lvlJc w:val="left"/>
      <w:pPr>
        <w:tabs>
          <w:tab w:val="num" w:pos="5400"/>
        </w:tabs>
        <w:ind w:left="5400" w:hanging="360"/>
      </w:pPr>
      <w:rPr>
        <w:rFonts w:ascii="Symbol" w:hAnsi="Symbol" w:hint="default"/>
      </w:rPr>
    </w:lvl>
    <w:lvl w:ilvl="7" w:tplc="32B80F9A" w:tentative="1">
      <w:start w:val="1"/>
      <w:numFmt w:val="bullet"/>
      <w:lvlText w:val="o"/>
      <w:lvlJc w:val="left"/>
      <w:pPr>
        <w:tabs>
          <w:tab w:val="num" w:pos="6120"/>
        </w:tabs>
        <w:ind w:left="6120" w:hanging="360"/>
      </w:pPr>
      <w:rPr>
        <w:rFonts w:ascii="Courier New" w:hAnsi="Courier New" w:cs="Courier New" w:hint="default"/>
      </w:rPr>
    </w:lvl>
    <w:lvl w:ilvl="8" w:tplc="D8500EC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D63B4D"/>
    <w:multiLevelType w:val="hybridMultilevel"/>
    <w:tmpl w:val="2886207A"/>
    <w:lvl w:ilvl="0" w:tplc="04050005">
      <w:start w:val="1"/>
      <w:numFmt w:val="decimal"/>
      <w:lvlText w:val="%1."/>
      <w:lvlJc w:val="left"/>
      <w:pPr>
        <w:tabs>
          <w:tab w:val="num" w:pos="720"/>
        </w:tabs>
        <w:ind w:left="720" w:hanging="360"/>
      </w:pPr>
      <w:rPr>
        <w:rFonts w:hint="default"/>
        <w:b w:val="0"/>
        <w:i w:val="0"/>
        <w:sz w:val="24"/>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7AF13C8"/>
    <w:multiLevelType w:val="hybridMultilevel"/>
    <w:tmpl w:val="03726AEA"/>
    <w:lvl w:ilvl="0" w:tplc="1066578A">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51BB9"/>
    <w:multiLevelType w:val="hybridMultilevel"/>
    <w:tmpl w:val="A19C56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7219CB"/>
    <w:multiLevelType w:val="multilevel"/>
    <w:tmpl w:val="80805782"/>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C2B1618"/>
    <w:multiLevelType w:val="hybridMultilevel"/>
    <w:tmpl w:val="DA102952"/>
    <w:lvl w:ilvl="0" w:tplc="87E279C8">
      <w:start w:val="1"/>
      <w:numFmt w:val="decimal"/>
      <w:lvlText w:val="%1."/>
      <w:lvlJc w:val="left"/>
      <w:pPr>
        <w:ind w:left="502" w:hanging="360"/>
      </w:pPr>
      <w:rPr>
        <w:rFonts w:ascii="Arial" w:eastAsia="Times New Roman" w:hAnsi="Arial" w:cs="Arial"/>
        <w:color w:val="auto"/>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30" w15:restartNumberingAfterBreak="0">
    <w:nsid w:val="6101343D"/>
    <w:multiLevelType w:val="hybridMultilevel"/>
    <w:tmpl w:val="67A20870"/>
    <w:lvl w:ilvl="0" w:tplc="03F2A59A">
      <w:start w:val="1"/>
      <w:numFmt w:val="decimal"/>
      <w:lvlText w:val="%1."/>
      <w:lvlJc w:val="left"/>
      <w:pPr>
        <w:ind w:left="502" w:hanging="360"/>
      </w:pPr>
      <w:rPr>
        <w:rFonts w:ascii="Arial" w:eastAsia="Times New Roman"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87692F"/>
    <w:multiLevelType w:val="hybridMultilevel"/>
    <w:tmpl w:val="2148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372581"/>
    <w:multiLevelType w:val="hybridMultilevel"/>
    <w:tmpl w:val="2082685C"/>
    <w:lvl w:ilvl="0" w:tplc="E98649F4">
      <w:start w:val="1"/>
      <w:numFmt w:val="bullet"/>
      <w:lvlText w:val=""/>
      <w:lvlJc w:val="left"/>
      <w:pPr>
        <w:tabs>
          <w:tab w:val="num" w:pos="720"/>
        </w:tabs>
        <w:ind w:left="720" w:hanging="360"/>
      </w:pPr>
      <w:rPr>
        <w:rFonts w:ascii="Wingdings" w:hAnsi="Wingdings" w:hint="default"/>
      </w:rPr>
    </w:lvl>
    <w:lvl w:ilvl="1" w:tplc="9B50B9C2" w:tentative="1">
      <w:start w:val="1"/>
      <w:numFmt w:val="bullet"/>
      <w:lvlText w:val="o"/>
      <w:lvlJc w:val="left"/>
      <w:pPr>
        <w:tabs>
          <w:tab w:val="num" w:pos="1440"/>
        </w:tabs>
        <w:ind w:left="1440" w:hanging="360"/>
      </w:pPr>
      <w:rPr>
        <w:rFonts w:ascii="Courier New" w:hAnsi="Courier New" w:cs="Courier New" w:hint="default"/>
      </w:rPr>
    </w:lvl>
    <w:lvl w:ilvl="2" w:tplc="F84E8816" w:tentative="1">
      <w:start w:val="1"/>
      <w:numFmt w:val="bullet"/>
      <w:lvlText w:val=""/>
      <w:lvlJc w:val="left"/>
      <w:pPr>
        <w:tabs>
          <w:tab w:val="num" w:pos="2160"/>
        </w:tabs>
        <w:ind w:left="2160" w:hanging="360"/>
      </w:pPr>
      <w:rPr>
        <w:rFonts w:ascii="Wingdings" w:hAnsi="Wingdings" w:hint="default"/>
      </w:rPr>
    </w:lvl>
    <w:lvl w:ilvl="3" w:tplc="3EF0C7D4" w:tentative="1">
      <w:start w:val="1"/>
      <w:numFmt w:val="bullet"/>
      <w:lvlText w:val=""/>
      <w:lvlJc w:val="left"/>
      <w:pPr>
        <w:tabs>
          <w:tab w:val="num" w:pos="2880"/>
        </w:tabs>
        <w:ind w:left="2880" w:hanging="360"/>
      </w:pPr>
      <w:rPr>
        <w:rFonts w:ascii="Symbol" w:hAnsi="Symbol" w:hint="default"/>
      </w:rPr>
    </w:lvl>
    <w:lvl w:ilvl="4" w:tplc="86AE4F0E" w:tentative="1">
      <w:start w:val="1"/>
      <w:numFmt w:val="bullet"/>
      <w:lvlText w:val="o"/>
      <w:lvlJc w:val="left"/>
      <w:pPr>
        <w:tabs>
          <w:tab w:val="num" w:pos="3600"/>
        </w:tabs>
        <w:ind w:left="3600" w:hanging="360"/>
      </w:pPr>
      <w:rPr>
        <w:rFonts w:ascii="Courier New" w:hAnsi="Courier New" w:cs="Courier New" w:hint="default"/>
      </w:rPr>
    </w:lvl>
    <w:lvl w:ilvl="5" w:tplc="3CC6FC02" w:tentative="1">
      <w:start w:val="1"/>
      <w:numFmt w:val="bullet"/>
      <w:lvlText w:val=""/>
      <w:lvlJc w:val="left"/>
      <w:pPr>
        <w:tabs>
          <w:tab w:val="num" w:pos="4320"/>
        </w:tabs>
        <w:ind w:left="4320" w:hanging="360"/>
      </w:pPr>
      <w:rPr>
        <w:rFonts w:ascii="Wingdings" w:hAnsi="Wingdings" w:hint="default"/>
      </w:rPr>
    </w:lvl>
    <w:lvl w:ilvl="6" w:tplc="64BCE7F4" w:tentative="1">
      <w:start w:val="1"/>
      <w:numFmt w:val="bullet"/>
      <w:lvlText w:val=""/>
      <w:lvlJc w:val="left"/>
      <w:pPr>
        <w:tabs>
          <w:tab w:val="num" w:pos="5040"/>
        </w:tabs>
        <w:ind w:left="5040" w:hanging="360"/>
      </w:pPr>
      <w:rPr>
        <w:rFonts w:ascii="Symbol" w:hAnsi="Symbol" w:hint="default"/>
      </w:rPr>
    </w:lvl>
    <w:lvl w:ilvl="7" w:tplc="34749D8A" w:tentative="1">
      <w:start w:val="1"/>
      <w:numFmt w:val="bullet"/>
      <w:lvlText w:val="o"/>
      <w:lvlJc w:val="left"/>
      <w:pPr>
        <w:tabs>
          <w:tab w:val="num" w:pos="5760"/>
        </w:tabs>
        <w:ind w:left="5760" w:hanging="360"/>
      </w:pPr>
      <w:rPr>
        <w:rFonts w:ascii="Courier New" w:hAnsi="Courier New" w:cs="Courier New" w:hint="default"/>
      </w:rPr>
    </w:lvl>
    <w:lvl w:ilvl="8" w:tplc="68D41A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871D1"/>
    <w:multiLevelType w:val="hybridMultilevel"/>
    <w:tmpl w:val="50D8D256"/>
    <w:lvl w:ilvl="0" w:tplc="7DA818E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6A4196"/>
    <w:multiLevelType w:val="hybridMultilevel"/>
    <w:tmpl w:val="937C9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E43696"/>
    <w:multiLevelType w:val="hybridMultilevel"/>
    <w:tmpl w:val="84BC885C"/>
    <w:lvl w:ilvl="0" w:tplc="0405000B">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837CC1"/>
    <w:multiLevelType w:val="hybridMultilevel"/>
    <w:tmpl w:val="DA102952"/>
    <w:lvl w:ilvl="0" w:tplc="87E279C8">
      <w:start w:val="1"/>
      <w:numFmt w:val="decimal"/>
      <w:lvlText w:val="%1."/>
      <w:lvlJc w:val="left"/>
      <w:pPr>
        <w:ind w:left="360" w:hanging="360"/>
      </w:pPr>
      <w:rPr>
        <w:rFonts w:ascii="Arial" w:eastAsia="Times New Roman" w:hAnsi="Arial" w:cs="Arial"/>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8"/>
  </w:num>
  <w:num w:numId="2">
    <w:abstractNumId w:val="35"/>
  </w:num>
  <w:num w:numId="3">
    <w:abstractNumId w:val="25"/>
  </w:num>
  <w:num w:numId="4">
    <w:abstractNumId w:val="24"/>
  </w:num>
  <w:num w:numId="5">
    <w:abstractNumId w:val="19"/>
  </w:num>
  <w:num w:numId="6">
    <w:abstractNumId w:val="7"/>
  </w:num>
  <w:num w:numId="7">
    <w:abstractNumId w:val="32"/>
  </w:num>
  <w:num w:numId="8">
    <w:abstractNumId w:val="6"/>
  </w:num>
  <w:num w:numId="9">
    <w:abstractNumId w:val="20"/>
  </w:num>
  <w:num w:numId="10">
    <w:abstractNumId w:val="13"/>
  </w:num>
  <w:num w:numId="11">
    <w:abstractNumId w:val="4"/>
  </w:num>
  <w:num w:numId="12">
    <w:abstractNumId w:val="26"/>
  </w:num>
  <w:num w:numId="13">
    <w:abstractNumId w:val="12"/>
  </w:num>
  <w:num w:numId="14">
    <w:abstractNumId w:val="1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15"/>
  </w:num>
  <w:num w:numId="19">
    <w:abstractNumId w:val="28"/>
  </w:num>
  <w:num w:numId="20">
    <w:abstractNumId w:val="23"/>
  </w:num>
  <w:num w:numId="21">
    <w:abstractNumId w:val="33"/>
  </w:num>
  <w:num w:numId="22">
    <w:abstractNumId w:val="14"/>
  </w:num>
  <w:num w:numId="23">
    <w:abstractNumId w:val="2"/>
  </w:num>
  <w:num w:numId="24">
    <w:abstractNumId w:val="1"/>
  </w:num>
  <w:num w:numId="25">
    <w:abstractNumId w:val="29"/>
  </w:num>
  <w:num w:numId="26">
    <w:abstractNumId w:val="0"/>
  </w:num>
  <w:num w:numId="27">
    <w:abstractNumId w:val="36"/>
  </w:num>
  <w:num w:numId="28">
    <w:abstractNumId w:val="21"/>
  </w:num>
  <w:num w:numId="29">
    <w:abstractNumId w:val="10"/>
  </w:num>
  <w:num w:numId="30">
    <w:abstractNumId w:val="30"/>
  </w:num>
  <w:num w:numId="31">
    <w:abstractNumId w:val="3"/>
  </w:num>
  <w:num w:numId="32">
    <w:abstractNumId w:val="17"/>
  </w:num>
  <w:num w:numId="33">
    <w:abstractNumId w:val="9"/>
  </w:num>
  <w:num w:numId="34">
    <w:abstractNumId w:val="11"/>
  </w:num>
  <w:num w:numId="35">
    <w:abstractNumId w:val="27"/>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13"/>
    <w:rsid w:val="000336CD"/>
    <w:rsid w:val="00051CD2"/>
    <w:rsid w:val="00054362"/>
    <w:rsid w:val="0006119D"/>
    <w:rsid w:val="000977F8"/>
    <w:rsid w:val="000F7883"/>
    <w:rsid w:val="00104339"/>
    <w:rsid w:val="0013019B"/>
    <w:rsid w:val="00155311"/>
    <w:rsid w:val="00182950"/>
    <w:rsid w:val="0019008C"/>
    <w:rsid w:val="00190F79"/>
    <w:rsid w:val="001A4621"/>
    <w:rsid w:val="001B22DA"/>
    <w:rsid w:val="001C2F25"/>
    <w:rsid w:val="001D032A"/>
    <w:rsid w:val="001F0A43"/>
    <w:rsid w:val="00210327"/>
    <w:rsid w:val="002159DE"/>
    <w:rsid w:val="00226668"/>
    <w:rsid w:val="0024365C"/>
    <w:rsid w:val="00267AD8"/>
    <w:rsid w:val="00276CD0"/>
    <w:rsid w:val="002A375A"/>
    <w:rsid w:val="002B1148"/>
    <w:rsid w:val="002B6573"/>
    <w:rsid w:val="002C0683"/>
    <w:rsid w:val="002C0E1B"/>
    <w:rsid w:val="002D4D03"/>
    <w:rsid w:val="002F7B41"/>
    <w:rsid w:val="00300A73"/>
    <w:rsid w:val="00315BE8"/>
    <w:rsid w:val="00316B34"/>
    <w:rsid w:val="003577C2"/>
    <w:rsid w:val="00362E92"/>
    <w:rsid w:val="003769A8"/>
    <w:rsid w:val="00382B99"/>
    <w:rsid w:val="003A153C"/>
    <w:rsid w:val="003A4F87"/>
    <w:rsid w:val="003B4DB0"/>
    <w:rsid w:val="003C0A91"/>
    <w:rsid w:val="003C1E78"/>
    <w:rsid w:val="003C56EE"/>
    <w:rsid w:val="003E1B90"/>
    <w:rsid w:val="00420123"/>
    <w:rsid w:val="00452EEE"/>
    <w:rsid w:val="00466072"/>
    <w:rsid w:val="00475197"/>
    <w:rsid w:val="004C5927"/>
    <w:rsid w:val="004D05FC"/>
    <w:rsid w:val="004E31E0"/>
    <w:rsid w:val="00500B22"/>
    <w:rsid w:val="00503A74"/>
    <w:rsid w:val="0051475D"/>
    <w:rsid w:val="0051683A"/>
    <w:rsid w:val="00581BF0"/>
    <w:rsid w:val="005968D2"/>
    <w:rsid w:val="00597561"/>
    <w:rsid w:val="005A19E3"/>
    <w:rsid w:val="005A1CC4"/>
    <w:rsid w:val="005A6933"/>
    <w:rsid w:val="005C5475"/>
    <w:rsid w:val="005D7479"/>
    <w:rsid w:val="005E0D53"/>
    <w:rsid w:val="005E5530"/>
    <w:rsid w:val="006122BD"/>
    <w:rsid w:val="00615AA0"/>
    <w:rsid w:val="00616DA5"/>
    <w:rsid w:val="00623E06"/>
    <w:rsid w:val="00625033"/>
    <w:rsid w:val="0065496B"/>
    <w:rsid w:val="00676645"/>
    <w:rsid w:val="006A29C6"/>
    <w:rsid w:val="006A6F01"/>
    <w:rsid w:val="006B590F"/>
    <w:rsid w:val="006D3B40"/>
    <w:rsid w:val="006D54AE"/>
    <w:rsid w:val="006E06DD"/>
    <w:rsid w:val="006F3809"/>
    <w:rsid w:val="006F6FBC"/>
    <w:rsid w:val="00725616"/>
    <w:rsid w:val="00735748"/>
    <w:rsid w:val="0075127D"/>
    <w:rsid w:val="007624C5"/>
    <w:rsid w:val="0077363A"/>
    <w:rsid w:val="00786660"/>
    <w:rsid w:val="007911D9"/>
    <w:rsid w:val="007A78FC"/>
    <w:rsid w:val="007C1EA0"/>
    <w:rsid w:val="007E5345"/>
    <w:rsid w:val="007F6366"/>
    <w:rsid w:val="008016CD"/>
    <w:rsid w:val="00822DC0"/>
    <w:rsid w:val="00845917"/>
    <w:rsid w:val="00861422"/>
    <w:rsid w:val="00891FE6"/>
    <w:rsid w:val="008C4485"/>
    <w:rsid w:val="008D172B"/>
    <w:rsid w:val="008D2F33"/>
    <w:rsid w:val="008F503D"/>
    <w:rsid w:val="00906144"/>
    <w:rsid w:val="00912C1D"/>
    <w:rsid w:val="0095548E"/>
    <w:rsid w:val="00982F54"/>
    <w:rsid w:val="00983359"/>
    <w:rsid w:val="00996BAC"/>
    <w:rsid w:val="009A093B"/>
    <w:rsid w:val="009A5E44"/>
    <w:rsid w:val="009C16B0"/>
    <w:rsid w:val="00A01420"/>
    <w:rsid w:val="00A11E37"/>
    <w:rsid w:val="00A1405A"/>
    <w:rsid w:val="00A150D7"/>
    <w:rsid w:val="00A4651A"/>
    <w:rsid w:val="00A621AC"/>
    <w:rsid w:val="00A64F8E"/>
    <w:rsid w:val="00A90959"/>
    <w:rsid w:val="00A971CA"/>
    <w:rsid w:val="00AD03EB"/>
    <w:rsid w:val="00AD2F7E"/>
    <w:rsid w:val="00AD35C5"/>
    <w:rsid w:val="00AD45CD"/>
    <w:rsid w:val="00AE4000"/>
    <w:rsid w:val="00B03AD6"/>
    <w:rsid w:val="00B30E59"/>
    <w:rsid w:val="00B61DB3"/>
    <w:rsid w:val="00B67B96"/>
    <w:rsid w:val="00BE03DC"/>
    <w:rsid w:val="00C241C7"/>
    <w:rsid w:val="00C25BBC"/>
    <w:rsid w:val="00C65013"/>
    <w:rsid w:val="00C81585"/>
    <w:rsid w:val="00CC7B76"/>
    <w:rsid w:val="00CD1291"/>
    <w:rsid w:val="00CE6FBC"/>
    <w:rsid w:val="00D01BDD"/>
    <w:rsid w:val="00D0301E"/>
    <w:rsid w:val="00D21FAC"/>
    <w:rsid w:val="00D31E7C"/>
    <w:rsid w:val="00D463E7"/>
    <w:rsid w:val="00D6318D"/>
    <w:rsid w:val="00D67D23"/>
    <w:rsid w:val="00D70EAA"/>
    <w:rsid w:val="00D720FA"/>
    <w:rsid w:val="00D955FC"/>
    <w:rsid w:val="00DB2224"/>
    <w:rsid w:val="00DB4BBC"/>
    <w:rsid w:val="00E31C72"/>
    <w:rsid w:val="00E40EFE"/>
    <w:rsid w:val="00E8021A"/>
    <w:rsid w:val="00EA63B4"/>
    <w:rsid w:val="00ED2C86"/>
    <w:rsid w:val="00EE4847"/>
    <w:rsid w:val="00F02383"/>
    <w:rsid w:val="00F035EE"/>
    <w:rsid w:val="00F07342"/>
    <w:rsid w:val="00F44DC2"/>
    <w:rsid w:val="00F82223"/>
    <w:rsid w:val="00FA3E32"/>
    <w:rsid w:val="00FB4970"/>
    <w:rsid w:val="00FC2337"/>
    <w:rsid w:val="00FD6567"/>
    <w:rsid w:val="00FE6739"/>
    <w:rsid w:val="00FF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6B7E4F-2A04-4281-B2A1-AE66BFC8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5013"/>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Nadpis2">
    <w:name w:val="heading 2"/>
    <w:basedOn w:val="Normln"/>
    <w:next w:val="Normln"/>
    <w:link w:val="Nadpis2Char"/>
    <w:uiPriority w:val="9"/>
    <w:unhideWhenUsed/>
    <w:qFormat/>
    <w:rsid w:val="008D172B"/>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Nadpis3">
    <w:name w:val="heading 3"/>
    <w:basedOn w:val="Normln"/>
    <w:next w:val="Normln"/>
    <w:link w:val="Nadpis3Char"/>
    <w:uiPriority w:val="9"/>
    <w:unhideWhenUsed/>
    <w:qFormat/>
    <w:rsid w:val="00420123"/>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Nadpis4">
    <w:name w:val="heading 4"/>
    <w:basedOn w:val="Normln"/>
    <w:next w:val="Normln"/>
    <w:link w:val="Nadpis4Char"/>
    <w:uiPriority w:val="9"/>
    <w:unhideWhenUsed/>
    <w:qFormat/>
    <w:rsid w:val="003E1B90"/>
    <w:pPr>
      <w:keepNext/>
      <w:keepLines/>
      <w:spacing w:before="200" w:after="0" w:line="276" w:lineRule="auto"/>
      <w:outlineLvl w:val="3"/>
    </w:pPr>
    <w:rPr>
      <w:rFonts w:asciiTheme="majorHAnsi" w:eastAsiaTheme="majorEastAsia" w:hAnsiTheme="majorHAnsi" w:cstheme="majorBidi"/>
      <w:b/>
      <w:bCs/>
      <w:i/>
      <w:iCs/>
      <w:color w:val="A5300F" w:themeColor="accent1"/>
      <w:lang w:val="en-US" w:bidi="en-US"/>
    </w:rPr>
  </w:style>
  <w:style w:type="paragraph" w:styleId="Nadpis5">
    <w:name w:val="heading 5"/>
    <w:basedOn w:val="Normln"/>
    <w:next w:val="Normln"/>
    <w:link w:val="Nadpis5Char"/>
    <w:uiPriority w:val="9"/>
    <w:unhideWhenUsed/>
    <w:qFormat/>
    <w:rsid w:val="008D172B"/>
    <w:pPr>
      <w:keepNext/>
      <w:keepLines/>
      <w:spacing w:before="40" w:after="0"/>
      <w:outlineLvl w:val="4"/>
    </w:pPr>
    <w:rPr>
      <w:rFonts w:asciiTheme="majorHAnsi" w:eastAsiaTheme="majorEastAsia" w:hAnsiTheme="majorHAnsi" w:cstheme="majorBidi"/>
      <w:color w:val="7B230B" w:themeColor="accent1" w:themeShade="BF"/>
    </w:rPr>
  </w:style>
  <w:style w:type="paragraph" w:styleId="Nadpis6">
    <w:name w:val="heading 6"/>
    <w:basedOn w:val="Normln"/>
    <w:next w:val="Normln"/>
    <w:link w:val="Nadpis6Char"/>
    <w:uiPriority w:val="9"/>
    <w:unhideWhenUsed/>
    <w:qFormat/>
    <w:rsid w:val="003E1B90"/>
    <w:pPr>
      <w:keepNext/>
      <w:keepLines/>
      <w:spacing w:before="200" w:after="0" w:line="276" w:lineRule="auto"/>
      <w:outlineLvl w:val="5"/>
    </w:pPr>
    <w:rPr>
      <w:rFonts w:asciiTheme="majorHAnsi" w:eastAsiaTheme="majorEastAsia" w:hAnsiTheme="majorHAnsi" w:cstheme="majorBidi"/>
      <w:i/>
      <w:iCs/>
      <w:color w:val="511707" w:themeColor="accent1" w:themeShade="7F"/>
      <w:lang w:val="en-US" w:bidi="en-US"/>
    </w:rPr>
  </w:style>
  <w:style w:type="paragraph" w:styleId="Nadpis7">
    <w:name w:val="heading 7"/>
    <w:basedOn w:val="Normln"/>
    <w:next w:val="Normln"/>
    <w:link w:val="Nadpis7Char"/>
    <w:uiPriority w:val="9"/>
    <w:semiHidden/>
    <w:unhideWhenUsed/>
    <w:qFormat/>
    <w:rsid w:val="003E1B90"/>
    <w:pPr>
      <w:keepNext/>
      <w:keepLines/>
      <w:spacing w:before="200" w:after="0" w:line="276" w:lineRule="auto"/>
      <w:outlineLvl w:val="6"/>
    </w:pPr>
    <w:rPr>
      <w:rFonts w:asciiTheme="majorHAnsi" w:eastAsiaTheme="majorEastAsia" w:hAnsiTheme="majorHAnsi" w:cstheme="majorBidi"/>
      <w:i/>
      <w:iCs/>
      <w:color w:val="404040" w:themeColor="text1" w:themeTint="BF"/>
      <w:lang w:val="en-US" w:bidi="en-US"/>
    </w:rPr>
  </w:style>
  <w:style w:type="paragraph" w:styleId="Nadpis8">
    <w:name w:val="heading 8"/>
    <w:basedOn w:val="Normln"/>
    <w:next w:val="Normln"/>
    <w:link w:val="Nadpis8Char"/>
    <w:uiPriority w:val="9"/>
    <w:semiHidden/>
    <w:unhideWhenUsed/>
    <w:qFormat/>
    <w:rsid w:val="003E1B90"/>
    <w:pPr>
      <w:keepNext/>
      <w:keepLines/>
      <w:spacing w:before="200" w:after="0" w:line="276" w:lineRule="auto"/>
      <w:outlineLvl w:val="7"/>
    </w:pPr>
    <w:rPr>
      <w:rFonts w:asciiTheme="majorHAnsi" w:eastAsiaTheme="majorEastAsia" w:hAnsiTheme="majorHAnsi" w:cstheme="majorBidi"/>
      <w:color w:val="A5300F" w:themeColor="accent1"/>
      <w:sz w:val="20"/>
      <w:szCs w:val="20"/>
      <w:lang w:val="en-US" w:bidi="en-US"/>
    </w:rPr>
  </w:style>
  <w:style w:type="paragraph" w:styleId="Nadpis9">
    <w:name w:val="heading 9"/>
    <w:basedOn w:val="Normln"/>
    <w:next w:val="Normln"/>
    <w:link w:val="Nadpis9Char"/>
    <w:uiPriority w:val="9"/>
    <w:semiHidden/>
    <w:unhideWhenUsed/>
    <w:qFormat/>
    <w:rsid w:val="003E1B90"/>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5013"/>
    <w:rPr>
      <w:rFonts w:asciiTheme="majorHAnsi" w:eastAsiaTheme="majorEastAsia" w:hAnsiTheme="majorHAnsi" w:cstheme="majorBidi"/>
      <w:color w:val="7B230B" w:themeColor="accent1" w:themeShade="BF"/>
      <w:sz w:val="32"/>
      <w:szCs w:val="32"/>
    </w:rPr>
  </w:style>
  <w:style w:type="character" w:customStyle="1" w:styleId="Nadpis2Char">
    <w:name w:val="Nadpis 2 Char"/>
    <w:basedOn w:val="Standardnpsmoodstavce"/>
    <w:link w:val="Nadpis2"/>
    <w:uiPriority w:val="9"/>
    <w:rsid w:val="008D172B"/>
    <w:rPr>
      <w:rFonts w:asciiTheme="majorHAnsi" w:eastAsiaTheme="majorEastAsia" w:hAnsiTheme="majorHAnsi" w:cstheme="majorBidi"/>
      <w:color w:val="7B230B" w:themeColor="accent1" w:themeShade="BF"/>
      <w:sz w:val="26"/>
      <w:szCs w:val="26"/>
    </w:rPr>
  </w:style>
  <w:style w:type="character" w:customStyle="1" w:styleId="Nadpis3Char">
    <w:name w:val="Nadpis 3 Char"/>
    <w:basedOn w:val="Standardnpsmoodstavce"/>
    <w:link w:val="Nadpis3"/>
    <w:uiPriority w:val="9"/>
    <w:rsid w:val="00420123"/>
    <w:rPr>
      <w:rFonts w:asciiTheme="majorHAnsi" w:eastAsiaTheme="majorEastAsia" w:hAnsiTheme="majorHAnsi" w:cstheme="majorBidi"/>
      <w:color w:val="511707" w:themeColor="accent1" w:themeShade="7F"/>
      <w:sz w:val="24"/>
      <w:szCs w:val="24"/>
    </w:rPr>
  </w:style>
  <w:style w:type="character" w:customStyle="1" w:styleId="Nadpis4Char">
    <w:name w:val="Nadpis 4 Char"/>
    <w:basedOn w:val="Standardnpsmoodstavce"/>
    <w:link w:val="Nadpis4"/>
    <w:uiPriority w:val="9"/>
    <w:rsid w:val="003E1B90"/>
    <w:rPr>
      <w:rFonts w:asciiTheme="majorHAnsi" w:eastAsiaTheme="majorEastAsia" w:hAnsiTheme="majorHAnsi" w:cstheme="majorBidi"/>
      <w:b/>
      <w:bCs/>
      <w:i/>
      <w:iCs/>
      <w:color w:val="A5300F" w:themeColor="accent1"/>
      <w:lang w:val="en-US" w:bidi="en-US"/>
    </w:rPr>
  </w:style>
  <w:style w:type="character" w:customStyle="1" w:styleId="Nadpis5Char">
    <w:name w:val="Nadpis 5 Char"/>
    <w:basedOn w:val="Standardnpsmoodstavce"/>
    <w:link w:val="Nadpis5"/>
    <w:uiPriority w:val="9"/>
    <w:rsid w:val="008D172B"/>
    <w:rPr>
      <w:rFonts w:asciiTheme="majorHAnsi" w:eastAsiaTheme="majorEastAsia" w:hAnsiTheme="majorHAnsi" w:cstheme="majorBidi"/>
      <w:color w:val="7B230B" w:themeColor="accent1" w:themeShade="BF"/>
    </w:rPr>
  </w:style>
  <w:style w:type="character" w:customStyle="1" w:styleId="Nadpis6Char">
    <w:name w:val="Nadpis 6 Char"/>
    <w:basedOn w:val="Standardnpsmoodstavce"/>
    <w:link w:val="Nadpis6"/>
    <w:uiPriority w:val="9"/>
    <w:rsid w:val="003E1B90"/>
    <w:rPr>
      <w:rFonts w:asciiTheme="majorHAnsi" w:eastAsiaTheme="majorEastAsia" w:hAnsiTheme="majorHAnsi" w:cstheme="majorBidi"/>
      <w:i/>
      <w:iCs/>
      <w:color w:val="511707" w:themeColor="accent1" w:themeShade="7F"/>
      <w:lang w:val="en-US" w:bidi="en-US"/>
    </w:rPr>
  </w:style>
  <w:style w:type="character" w:customStyle="1" w:styleId="Nadpis7Char">
    <w:name w:val="Nadpis 7 Char"/>
    <w:basedOn w:val="Standardnpsmoodstavce"/>
    <w:link w:val="Nadpis7"/>
    <w:uiPriority w:val="9"/>
    <w:semiHidden/>
    <w:rsid w:val="003E1B90"/>
    <w:rPr>
      <w:rFonts w:asciiTheme="majorHAnsi" w:eastAsiaTheme="majorEastAsia" w:hAnsiTheme="majorHAnsi" w:cstheme="majorBidi"/>
      <w:i/>
      <w:iCs/>
      <w:color w:val="404040" w:themeColor="text1" w:themeTint="BF"/>
      <w:lang w:val="en-US" w:bidi="en-US"/>
    </w:rPr>
  </w:style>
  <w:style w:type="character" w:customStyle="1" w:styleId="Nadpis8Char">
    <w:name w:val="Nadpis 8 Char"/>
    <w:basedOn w:val="Standardnpsmoodstavce"/>
    <w:link w:val="Nadpis8"/>
    <w:uiPriority w:val="9"/>
    <w:semiHidden/>
    <w:rsid w:val="003E1B90"/>
    <w:rPr>
      <w:rFonts w:asciiTheme="majorHAnsi" w:eastAsiaTheme="majorEastAsia" w:hAnsiTheme="majorHAnsi" w:cstheme="majorBidi"/>
      <w:color w:val="A5300F" w:themeColor="accent1"/>
      <w:sz w:val="20"/>
      <w:szCs w:val="20"/>
      <w:lang w:val="en-US" w:bidi="en-US"/>
    </w:rPr>
  </w:style>
  <w:style w:type="character" w:customStyle="1" w:styleId="Nadpis9Char">
    <w:name w:val="Nadpis 9 Char"/>
    <w:basedOn w:val="Standardnpsmoodstavce"/>
    <w:link w:val="Nadpis9"/>
    <w:uiPriority w:val="9"/>
    <w:semiHidden/>
    <w:rsid w:val="003E1B90"/>
    <w:rPr>
      <w:rFonts w:asciiTheme="majorHAnsi" w:eastAsiaTheme="majorEastAsia" w:hAnsiTheme="majorHAnsi" w:cstheme="majorBidi"/>
      <w:i/>
      <w:iCs/>
      <w:color w:val="404040" w:themeColor="text1" w:themeTint="BF"/>
      <w:sz w:val="20"/>
      <w:szCs w:val="20"/>
      <w:lang w:val="en-US" w:bidi="en-US"/>
    </w:rPr>
  </w:style>
  <w:style w:type="paragraph" w:styleId="Bezmezer">
    <w:name w:val="No Spacing"/>
    <w:aliases w:val="odrážky"/>
    <w:link w:val="BezmezerChar"/>
    <w:uiPriority w:val="1"/>
    <w:qFormat/>
    <w:rsid w:val="00C65013"/>
    <w:pPr>
      <w:spacing w:after="0" w:line="240" w:lineRule="auto"/>
    </w:pPr>
    <w:rPr>
      <w:rFonts w:eastAsiaTheme="minorEastAsia"/>
      <w:lang w:eastAsia="cs-CZ"/>
    </w:rPr>
  </w:style>
  <w:style w:type="character" w:customStyle="1" w:styleId="BezmezerChar">
    <w:name w:val="Bez mezer Char"/>
    <w:aliases w:val="odrážky Char"/>
    <w:basedOn w:val="Standardnpsmoodstavce"/>
    <w:link w:val="Bezmezer"/>
    <w:uiPriority w:val="1"/>
    <w:rsid w:val="00C65013"/>
    <w:rPr>
      <w:rFonts w:eastAsiaTheme="minorEastAsia"/>
      <w:lang w:eastAsia="cs-CZ"/>
    </w:rPr>
  </w:style>
  <w:style w:type="paragraph" w:styleId="Zhlav">
    <w:name w:val="header"/>
    <w:basedOn w:val="Normln"/>
    <w:link w:val="ZhlavChar"/>
    <w:unhideWhenUsed/>
    <w:rsid w:val="00C650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5013"/>
  </w:style>
  <w:style w:type="paragraph" w:styleId="Zpat">
    <w:name w:val="footer"/>
    <w:basedOn w:val="Normln"/>
    <w:link w:val="ZpatChar"/>
    <w:unhideWhenUsed/>
    <w:rsid w:val="00C65013"/>
    <w:pPr>
      <w:tabs>
        <w:tab w:val="center" w:pos="4536"/>
        <w:tab w:val="right" w:pos="9072"/>
      </w:tabs>
      <w:spacing w:after="0" w:line="240" w:lineRule="auto"/>
    </w:pPr>
  </w:style>
  <w:style w:type="character" w:customStyle="1" w:styleId="ZpatChar">
    <w:name w:val="Zápatí Char"/>
    <w:basedOn w:val="Standardnpsmoodstavce"/>
    <w:link w:val="Zpat"/>
    <w:rsid w:val="00C65013"/>
  </w:style>
  <w:style w:type="character" w:styleId="Siln">
    <w:name w:val="Strong"/>
    <w:basedOn w:val="Standardnpsmoodstavce"/>
    <w:uiPriority w:val="22"/>
    <w:qFormat/>
    <w:rsid w:val="008D172B"/>
    <w:rPr>
      <w:b/>
      <w:bCs/>
    </w:rPr>
  </w:style>
  <w:style w:type="paragraph" w:styleId="Citt">
    <w:name w:val="Quote"/>
    <w:basedOn w:val="Normln"/>
    <w:next w:val="Normln"/>
    <w:link w:val="CittChar"/>
    <w:uiPriority w:val="29"/>
    <w:qFormat/>
    <w:rsid w:val="008D172B"/>
    <w:pPr>
      <w:spacing w:after="200" w:line="276" w:lineRule="auto"/>
    </w:pPr>
    <w:rPr>
      <w:rFonts w:eastAsiaTheme="minorEastAsia"/>
      <w:i/>
      <w:iCs/>
      <w:color w:val="000000" w:themeColor="text1"/>
      <w:lang w:val="en-US" w:bidi="en-US"/>
    </w:rPr>
  </w:style>
  <w:style w:type="character" w:customStyle="1" w:styleId="CittChar">
    <w:name w:val="Citát Char"/>
    <w:basedOn w:val="Standardnpsmoodstavce"/>
    <w:link w:val="Citt"/>
    <w:uiPriority w:val="29"/>
    <w:rsid w:val="008D172B"/>
    <w:rPr>
      <w:rFonts w:eastAsiaTheme="minorEastAsia"/>
      <w:i/>
      <w:iCs/>
      <w:color w:val="000000" w:themeColor="text1"/>
      <w:lang w:val="en-US" w:bidi="en-US"/>
    </w:rPr>
  </w:style>
  <w:style w:type="paragraph" w:styleId="Normlnweb">
    <w:name w:val="Normal (Web)"/>
    <w:basedOn w:val="Normln"/>
    <w:uiPriority w:val="99"/>
    <w:semiHidden/>
    <w:unhideWhenUsed/>
    <w:rsid w:val="008D172B"/>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Hypertextovodkaz">
    <w:name w:val="Hyperlink"/>
    <w:basedOn w:val="Standardnpsmoodstavce"/>
    <w:uiPriority w:val="99"/>
    <w:unhideWhenUsed/>
    <w:rsid w:val="008D172B"/>
    <w:rPr>
      <w:color w:val="0000FF"/>
      <w:u w:val="single"/>
    </w:rPr>
  </w:style>
  <w:style w:type="paragraph" w:customStyle="1" w:styleId="TEXT">
    <w:name w:val="TEXT"/>
    <w:basedOn w:val="Normln"/>
    <w:link w:val="TEXTChar"/>
    <w:qFormat/>
    <w:rsid w:val="008D172B"/>
    <w:pPr>
      <w:spacing w:after="120" w:line="264" w:lineRule="auto"/>
      <w:ind w:firstLine="357"/>
      <w:jc w:val="both"/>
    </w:pPr>
    <w:rPr>
      <w:rFonts w:cs="Arial"/>
      <w:sz w:val="24"/>
      <w:szCs w:val="24"/>
      <w:lang w:val="en-US" w:bidi="en-US"/>
    </w:rPr>
  </w:style>
  <w:style w:type="character" w:customStyle="1" w:styleId="TEXTChar">
    <w:name w:val="TEXT Char"/>
    <w:basedOn w:val="Standardnpsmoodstavce"/>
    <w:link w:val="TEXT"/>
    <w:rsid w:val="008D172B"/>
    <w:rPr>
      <w:rFonts w:cs="Arial"/>
      <w:sz w:val="24"/>
      <w:szCs w:val="24"/>
      <w:lang w:val="en-US" w:bidi="en-US"/>
    </w:rPr>
  </w:style>
  <w:style w:type="paragraph" w:customStyle="1" w:styleId="TEXT1OD">
    <w:name w:val="TEXT_1.OD"/>
    <w:basedOn w:val="Normln"/>
    <w:link w:val="TEXT1ODChar"/>
    <w:qFormat/>
    <w:rsid w:val="008D172B"/>
    <w:pPr>
      <w:spacing w:after="120" w:line="264" w:lineRule="auto"/>
      <w:jc w:val="both"/>
    </w:pPr>
    <w:rPr>
      <w:rFonts w:cs="Arial"/>
      <w:sz w:val="24"/>
      <w:szCs w:val="24"/>
      <w:lang w:val="en-US" w:bidi="en-US"/>
    </w:rPr>
  </w:style>
  <w:style w:type="character" w:customStyle="1" w:styleId="TEXT1ODChar">
    <w:name w:val="TEXT_1.OD Char"/>
    <w:basedOn w:val="Standardnpsmoodstavce"/>
    <w:link w:val="TEXT1OD"/>
    <w:rsid w:val="008D172B"/>
    <w:rPr>
      <w:rFonts w:cs="Arial"/>
      <w:sz w:val="24"/>
      <w:szCs w:val="24"/>
      <w:lang w:val="en-US" w:bidi="en-US"/>
    </w:rPr>
  </w:style>
  <w:style w:type="paragraph" w:customStyle="1" w:styleId="TABOBR">
    <w:name w:val="TAB+OBR"/>
    <w:basedOn w:val="Normln"/>
    <w:link w:val="TABOBRChar"/>
    <w:qFormat/>
    <w:rsid w:val="008D172B"/>
    <w:pPr>
      <w:spacing w:before="240" w:after="0" w:line="240" w:lineRule="auto"/>
      <w:jc w:val="both"/>
    </w:pPr>
    <w:rPr>
      <w:rFonts w:ascii="Calibri" w:eastAsia="Calibri" w:hAnsi="Calibri" w:cs="Arial"/>
      <w:b/>
      <w:lang w:val="en-US" w:bidi="en-US"/>
    </w:rPr>
  </w:style>
  <w:style w:type="character" w:customStyle="1" w:styleId="TABOBRChar">
    <w:name w:val="TAB+OBR Char"/>
    <w:link w:val="TABOBR"/>
    <w:rsid w:val="008D172B"/>
    <w:rPr>
      <w:rFonts w:ascii="Calibri" w:eastAsia="Calibri" w:hAnsi="Calibri" w:cs="Arial"/>
      <w:b/>
      <w:lang w:val="en-US" w:bidi="en-US"/>
    </w:rPr>
  </w:style>
  <w:style w:type="table" w:styleId="Stednmka3zvraznn1">
    <w:name w:val="Medium Grid 3 Accent 1"/>
    <w:basedOn w:val="Normlntabulka"/>
    <w:uiPriority w:val="69"/>
    <w:rsid w:val="008D172B"/>
    <w:pPr>
      <w:spacing w:after="0" w:line="240" w:lineRule="auto"/>
    </w:pPr>
    <w:rPr>
      <w:rFonts w:eastAsiaTheme="minorEastAsia"/>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300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300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668" w:themeFill="accent1" w:themeFillTint="7F"/>
      </w:tcPr>
    </w:tblStylePr>
  </w:style>
  <w:style w:type="paragraph" w:styleId="Nzev">
    <w:name w:val="Title"/>
    <w:basedOn w:val="Normln"/>
    <w:next w:val="Normln"/>
    <w:link w:val="NzevChar"/>
    <w:uiPriority w:val="10"/>
    <w:qFormat/>
    <w:rsid w:val="003E1B90"/>
    <w:pPr>
      <w:pBdr>
        <w:bottom w:val="single" w:sz="8" w:space="4" w:color="A5300F"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lang w:val="en-US" w:bidi="en-US"/>
    </w:rPr>
  </w:style>
  <w:style w:type="character" w:customStyle="1" w:styleId="NzevChar">
    <w:name w:val="Název Char"/>
    <w:basedOn w:val="Standardnpsmoodstavce"/>
    <w:link w:val="Nzev"/>
    <w:uiPriority w:val="10"/>
    <w:rsid w:val="003E1B90"/>
    <w:rPr>
      <w:rFonts w:asciiTheme="majorHAnsi" w:eastAsiaTheme="majorEastAsia" w:hAnsiTheme="majorHAnsi" w:cstheme="majorBidi"/>
      <w:color w:val="252525" w:themeColor="text2" w:themeShade="BF"/>
      <w:spacing w:val="5"/>
      <w:kern w:val="28"/>
      <w:sz w:val="52"/>
      <w:szCs w:val="52"/>
      <w:lang w:val="en-US" w:bidi="en-US"/>
    </w:rPr>
  </w:style>
  <w:style w:type="paragraph" w:styleId="Podtitul">
    <w:name w:val="Subtitle"/>
    <w:basedOn w:val="Normln"/>
    <w:next w:val="Normln"/>
    <w:link w:val="PodtitulChar"/>
    <w:uiPriority w:val="11"/>
    <w:qFormat/>
    <w:rsid w:val="003E1B90"/>
    <w:pPr>
      <w:numPr>
        <w:ilvl w:val="1"/>
      </w:numPr>
      <w:spacing w:after="200" w:line="276" w:lineRule="auto"/>
    </w:pPr>
    <w:rPr>
      <w:rFonts w:asciiTheme="majorHAnsi" w:eastAsiaTheme="majorEastAsia" w:hAnsiTheme="majorHAnsi" w:cstheme="majorBidi"/>
      <w:i/>
      <w:iCs/>
      <w:color w:val="A5300F" w:themeColor="accent1"/>
      <w:spacing w:val="15"/>
      <w:sz w:val="24"/>
      <w:szCs w:val="24"/>
      <w:lang w:val="en-US" w:bidi="en-US"/>
    </w:rPr>
  </w:style>
  <w:style w:type="character" w:customStyle="1" w:styleId="PodtitulChar">
    <w:name w:val="Podtitul Char"/>
    <w:basedOn w:val="Standardnpsmoodstavce"/>
    <w:link w:val="Podtitul"/>
    <w:uiPriority w:val="11"/>
    <w:rsid w:val="003E1B90"/>
    <w:rPr>
      <w:rFonts w:asciiTheme="majorHAnsi" w:eastAsiaTheme="majorEastAsia" w:hAnsiTheme="majorHAnsi" w:cstheme="majorBidi"/>
      <w:i/>
      <w:iCs/>
      <w:color w:val="A5300F" w:themeColor="accent1"/>
      <w:spacing w:val="15"/>
      <w:sz w:val="24"/>
      <w:szCs w:val="24"/>
      <w:lang w:val="en-US" w:bidi="en-US"/>
    </w:rPr>
  </w:style>
  <w:style w:type="paragraph" w:styleId="Odstavecseseznamem">
    <w:name w:val="List Paragraph"/>
    <w:basedOn w:val="Normln"/>
    <w:uiPriority w:val="34"/>
    <w:qFormat/>
    <w:rsid w:val="003E1B90"/>
    <w:pPr>
      <w:spacing w:after="200" w:line="276" w:lineRule="auto"/>
      <w:ind w:left="720"/>
      <w:contextualSpacing/>
    </w:pPr>
    <w:rPr>
      <w:rFonts w:eastAsiaTheme="minorEastAsia"/>
      <w:lang w:val="en-US" w:bidi="en-US"/>
    </w:rPr>
  </w:style>
  <w:style w:type="character" w:styleId="Zdraznn">
    <w:name w:val="Emphasis"/>
    <w:basedOn w:val="Standardnpsmoodstavce"/>
    <w:uiPriority w:val="20"/>
    <w:qFormat/>
    <w:rsid w:val="003E1B90"/>
    <w:rPr>
      <w:i/>
      <w:iCs/>
    </w:rPr>
  </w:style>
  <w:style w:type="paragraph" w:styleId="Vrazncitt">
    <w:name w:val="Intense Quote"/>
    <w:basedOn w:val="Normln"/>
    <w:next w:val="Normln"/>
    <w:link w:val="VrazncittChar"/>
    <w:uiPriority w:val="30"/>
    <w:qFormat/>
    <w:rsid w:val="003E1B90"/>
    <w:pPr>
      <w:pBdr>
        <w:bottom w:val="single" w:sz="4" w:space="4" w:color="A5300F" w:themeColor="accent1"/>
      </w:pBdr>
      <w:spacing w:before="200" w:after="280" w:line="276" w:lineRule="auto"/>
      <w:ind w:left="936" w:right="936"/>
    </w:pPr>
    <w:rPr>
      <w:rFonts w:eastAsiaTheme="minorEastAsia"/>
      <w:b/>
      <w:bCs/>
      <w:i/>
      <w:iCs/>
      <w:color w:val="A5300F" w:themeColor="accent1"/>
      <w:lang w:val="en-US" w:bidi="en-US"/>
    </w:rPr>
  </w:style>
  <w:style w:type="character" w:customStyle="1" w:styleId="VrazncittChar">
    <w:name w:val="Výrazný citát Char"/>
    <w:basedOn w:val="Standardnpsmoodstavce"/>
    <w:link w:val="Vrazncitt"/>
    <w:uiPriority w:val="30"/>
    <w:rsid w:val="003E1B90"/>
    <w:rPr>
      <w:rFonts w:eastAsiaTheme="minorEastAsia"/>
      <w:b/>
      <w:bCs/>
      <w:i/>
      <w:iCs/>
      <w:color w:val="A5300F" w:themeColor="accent1"/>
      <w:lang w:val="en-US" w:bidi="en-US"/>
    </w:rPr>
  </w:style>
  <w:style w:type="character" w:styleId="Zdraznnjemn">
    <w:name w:val="Subtle Emphasis"/>
    <w:basedOn w:val="Standardnpsmoodstavce"/>
    <w:uiPriority w:val="19"/>
    <w:qFormat/>
    <w:rsid w:val="003E1B90"/>
    <w:rPr>
      <w:i/>
      <w:iCs/>
      <w:color w:val="808080" w:themeColor="text1" w:themeTint="7F"/>
    </w:rPr>
  </w:style>
  <w:style w:type="character" w:styleId="Zdraznnintenzivn">
    <w:name w:val="Intense Emphasis"/>
    <w:basedOn w:val="Standardnpsmoodstavce"/>
    <w:uiPriority w:val="21"/>
    <w:qFormat/>
    <w:rsid w:val="003E1B90"/>
    <w:rPr>
      <w:b/>
      <w:bCs/>
      <w:i/>
      <w:iCs/>
      <w:color w:val="A5300F" w:themeColor="accent1"/>
    </w:rPr>
  </w:style>
  <w:style w:type="character" w:styleId="Odkazjemn">
    <w:name w:val="Subtle Reference"/>
    <w:basedOn w:val="Standardnpsmoodstavce"/>
    <w:uiPriority w:val="31"/>
    <w:qFormat/>
    <w:rsid w:val="003E1B90"/>
    <w:rPr>
      <w:smallCaps/>
      <w:color w:val="D55816" w:themeColor="accent2"/>
      <w:u w:val="single"/>
    </w:rPr>
  </w:style>
  <w:style w:type="character" w:styleId="Odkazintenzivn">
    <w:name w:val="Intense Reference"/>
    <w:basedOn w:val="Standardnpsmoodstavce"/>
    <w:uiPriority w:val="32"/>
    <w:qFormat/>
    <w:rsid w:val="003E1B90"/>
    <w:rPr>
      <w:b/>
      <w:bCs/>
      <w:smallCaps/>
      <w:color w:val="D55816" w:themeColor="accent2"/>
      <w:spacing w:val="5"/>
      <w:u w:val="single"/>
    </w:rPr>
  </w:style>
  <w:style w:type="character" w:styleId="Nzevknihy">
    <w:name w:val="Book Title"/>
    <w:basedOn w:val="Standardnpsmoodstavce"/>
    <w:uiPriority w:val="33"/>
    <w:qFormat/>
    <w:rsid w:val="003E1B90"/>
    <w:rPr>
      <w:b/>
      <w:bCs/>
      <w:smallCaps/>
      <w:spacing w:val="5"/>
    </w:rPr>
  </w:style>
  <w:style w:type="paragraph" w:styleId="Nadpisobsahu">
    <w:name w:val="TOC Heading"/>
    <w:basedOn w:val="Nadpis1"/>
    <w:next w:val="Normln"/>
    <w:uiPriority w:val="39"/>
    <w:unhideWhenUsed/>
    <w:qFormat/>
    <w:rsid w:val="003E1B90"/>
    <w:pPr>
      <w:spacing w:before="480" w:line="276" w:lineRule="auto"/>
      <w:outlineLvl w:val="9"/>
    </w:pPr>
    <w:rPr>
      <w:b/>
      <w:bCs/>
      <w:sz w:val="28"/>
      <w:szCs w:val="28"/>
      <w:lang w:val="en-US" w:bidi="en-US"/>
    </w:rPr>
  </w:style>
  <w:style w:type="paragraph" w:styleId="Textbubliny">
    <w:name w:val="Balloon Text"/>
    <w:basedOn w:val="Normln"/>
    <w:link w:val="TextbublinyChar"/>
    <w:semiHidden/>
    <w:unhideWhenUsed/>
    <w:rsid w:val="003E1B90"/>
    <w:pPr>
      <w:spacing w:after="0" w:line="240" w:lineRule="auto"/>
    </w:pPr>
    <w:rPr>
      <w:rFonts w:ascii="Tahoma" w:eastAsiaTheme="minorEastAsia" w:hAnsi="Tahoma" w:cs="Tahoma"/>
      <w:sz w:val="16"/>
      <w:szCs w:val="16"/>
      <w:lang w:val="en-US" w:bidi="en-US"/>
    </w:rPr>
  </w:style>
  <w:style w:type="character" w:customStyle="1" w:styleId="TextbublinyChar">
    <w:name w:val="Text bubliny Char"/>
    <w:basedOn w:val="Standardnpsmoodstavce"/>
    <w:link w:val="Textbubliny"/>
    <w:semiHidden/>
    <w:rsid w:val="003E1B90"/>
    <w:rPr>
      <w:rFonts w:ascii="Tahoma" w:eastAsiaTheme="minorEastAsia" w:hAnsi="Tahoma" w:cs="Tahoma"/>
      <w:sz w:val="16"/>
      <w:szCs w:val="16"/>
      <w:lang w:val="en-US" w:bidi="en-US"/>
    </w:rPr>
  </w:style>
  <w:style w:type="paragraph" w:customStyle="1" w:styleId="TAB-OBR">
    <w:name w:val="TAB-OBR"/>
    <w:basedOn w:val="Normln"/>
    <w:link w:val="TAB-OBRChar"/>
    <w:qFormat/>
    <w:rsid w:val="003E1B90"/>
    <w:pPr>
      <w:spacing w:before="240" w:after="0" w:line="240" w:lineRule="auto"/>
      <w:jc w:val="both"/>
    </w:pPr>
    <w:rPr>
      <w:rFonts w:eastAsia="Times New Roman" w:cs="Arial"/>
      <w:b/>
      <w:sz w:val="24"/>
      <w:szCs w:val="24"/>
      <w:lang w:val="en-US" w:bidi="en-US"/>
    </w:rPr>
  </w:style>
  <w:style w:type="character" w:customStyle="1" w:styleId="TAB-OBRChar">
    <w:name w:val="TAB-OBR Char"/>
    <w:basedOn w:val="Standardnpsmoodstavce"/>
    <w:link w:val="TAB-OBR"/>
    <w:rsid w:val="003E1B90"/>
    <w:rPr>
      <w:rFonts w:eastAsia="Times New Roman" w:cs="Arial"/>
      <w:b/>
      <w:sz w:val="24"/>
      <w:szCs w:val="24"/>
      <w:lang w:val="en-US" w:bidi="en-US"/>
    </w:rPr>
  </w:style>
  <w:style w:type="character" w:customStyle="1" w:styleId="Styl11b1">
    <w:name w:val="Styl 11 b.1"/>
    <w:rsid w:val="003E1B90"/>
    <w:rPr>
      <w:color w:val="auto"/>
      <w:sz w:val="22"/>
      <w:szCs w:val="22"/>
    </w:rPr>
  </w:style>
  <w:style w:type="paragraph" w:styleId="Obsah1">
    <w:name w:val="toc 1"/>
    <w:basedOn w:val="Normln"/>
    <w:next w:val="Normln"/>
    <w:autoRedefine/>
    <w:uiPriority w:val="39"/>
    <w:unhideWhenUsed/>
    <w:qFormat/>
    <w:rsid w:val="003E1B90"/>
    <w:pPr>
      <w:spacing w:after="100" w:line="276" w:lineRule="auto"/>
    </w:pPr>
    <w:rPr>
      <w:rFonts w:eastAsiaTheme="minorEastAsia"/>
      <w:lang w:val="en-US" w:bidi="en-US"/>
    </w:rPr>
  </w:style>
  <w:style w:type="paragraph" w:styleId="Obsah2">
    <w:name w:val="toc 2"/>
    <w:basedOn w:val="Normln"/>
    <w:next w:val="Normln"/>
    <w:autoRedefine/>
    <w:uiPriority w:val="39"/>
    <w:unhideWhenUsed/>
    <w:qFormat/>
    <w:rsid w:val="003E1B90"/>
    <w:pPr>
      <w:spacing w:after="100" w:line="276" w:lineRule="auto"/>
      <w:ind w:left="220"/>
    </w:pPr>
    <w:rPr>
      <w:rFonts w:eastAsiaTheme="minorEastAsia"/>
      <w:lang w:val="en-US" w:bidi="en-US"/>
    </w:rPr>
  </w:style>
  <w:style w:type="paragraph" w:styleId="Zkladntextodsazen">
    <w:name w:val="Body Text Indent"/>
    <w:basedOn w:val="Normln"/>
    <w:link w:val="ZkladntextodsazenChar"/>
    <w:rsid w:val="003E1B90"/>
    <w:pPr>
      <w:spacing w:after="0" w:line="240" w:lineRule="auto"/>
      <w:ind w:firstLine="360"/>
      <w:jc w:val="both"/>
    </w:pPr>
    <w:rPr>
      <w:rFonts w:ascii="Arial" w:eastAsia="Times New Roman" w:hAnsi="Arial" w:cs="Times New Roman"/>
      <w:sz w:val="24"/>
      <w:szCs w:val="24"/>
      <w:lang w:val="en-US" w:bidi="en-US"/>
    </w:rPr>
  </w:style>
  <w:style w:type="character" w:customStyle="1" w:styleId="ZkladntextodsazenChar">
    <w:name w:val="Základní text odsazený Char"/>
    <w:basedOn w:val="Standardnpsmoodstavce"/>
    <w:link w:val="Zkladntextodsazen"/>
    <w:rsid w:val="003E1B90"/>
    <w:rPr>
      <w:rFonts w:ascii="Arial" w:eastAsia="Times New Roman" w:hAnsi="Arial" w:cs="Times New Roman"/>
      <w:sz w:val="24"/>
      <w:szCs w:val="24"/>
      <w:lang w:val="en-US" w:bidi="en-US"/>
    </w:rPr>
  </w:style>
  <w:style w:type="paragraph" w:styleId="Zkladntext3">
    <w:name w:val="Body Text 3"/>
    <w:basedOn w:val="Normln"/>
    <w:link w:val="Zkladntext3Char"/>
    <w:rsid w:val="003E1B90"/>
    <w:pPr>
      <w:tabs>
        <w:tab w:val="left" w:pos="360"/>
      </w:tabs>
      <w:spacing w:after="0" w:line="240" w:lineRule="auto"/>
      <w:jc w:val="both"/>
    </w:pPr>
    <w:rPr>
      <w:rFonts w:ascii="Arial" w:eastAsia="Times New Roman" w:hAnsi="Arial" w:cs="Times New Roman"/>
      <w:b/>
      <w:bCs/>
      <w:sz w:val="24"/>
      <w:szCs w:val="24"/>
      <w:lang w:val="en-US" w:bidi="en-US"/>
    </w:rPr>
  </w:style>
  <w:style w:type="character" w:customStyle="1" w:styleId="Zkladntext3Char">
    <w:name w:val="Základní text 3 Char"/>
    <w:basedOn w:val="Standardnpsmoodstavce"/>
    <w:link w:val="Zkladntext3"/>
    <w:rsid w:val="003E1B90"/>
    <w:rPr>
      <w:rFonts w:ascii="Arial" w:eastAsia="Times New Roman" w:hAnsi="Arial" w:cs="Times New Roman"/>
      <w:b/>
      <w:bCs/>
      <w:sz w:val="24"/>
      <w:szCs w:val="24"/>
      <w:lang w:val="en-US" w:bidi="en-US"/>
    </w:rPr>
  </w:style>
  <w:style w:type="paragraph" w:customStyle="1" w:styleId="Zkladntext21">
    <w:name w:val="Základní text 21"/>
    <w:basedOn w:val="Normln"/>
    <w:rsid w:val="003E1B90"/>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bidi="en-US"/>
    </w:rPr>
  </w:style>
  <w:style w:type="paragraph" w:customStyle="1" w:styleId="Rozvrendokumentu1">
    <w:name w:val="Rozvržení dokumentu1"/>
    <w:basedOn w:val="Normln"/>
    <w:semiHidden/>
    <w:rsid w:val="003E1B90"/>
    <w:pPr>
      <w:shd w:val="clear" w:color="auto" w:fill="000080"/>
      <w:spacing w:after="0" w:line="240" w:lineRule="auto"/>
    </w:pPr>
    <w:rPr>
      <w:rFonts w:ascii="Tahoma" w:eastAsia="Times New Roman" w:hAnsi="Tahoma" w:cs="Tahoma"/>
      <w:sz w:val="20"/>
      <w:szCs w:val="20"/>
      <w:lang w:val="en-US" w:bidi="en-US"/>
    </w:rPr>
  </w:style>
  <w:style w:type="character" w:styleId="slostrnky">
    <w:name w:val="page number"/>
    <w:basedOn w:val="Standardnpsmoodstavce"/>
    <w:rsid w:val="003E1B90"/>
  </w:style>
  <w:style w:type="paragraph" w:styleId="Zkladntext">
    <w:name w:val="Body Text"/>
    <w:basedOn w:val="Normln"/>
    <w:link w:val="ZkladntextChar"/>
    <w:rsid w:val="003E1B90"/>
    <w:pPr>
      <w:spacing w:after="120" w:line="240" w:lineRule="auto"/>
    </w:pPr>
    <w:rPr>
      <w:rFonts w:ascii="Arial" w:eastAsia="Times New Roman" w:hAnsi="Arial" w:cs="Times New Roman"/>
      <w:sz w:val="20"/>
      <w:szCs w:val="24"/>
      <w:lang w:val="en-US" w:bidi="en-US"/>
    </w:rPr>
  </w:style>
  <w:style w:type="character" w:customStyle="1" w:styleId="ZkladntextChar">
    <w:name w:val="Základní text Char"/>
    <w:basedOn w:val="Standardnpsmoodstavce"/>
    <w:link w:val="Zkladntext"/>
    <w:rsid w:val="003E1B90"/>
    <w:rPr>
      <w:rFonts w:ascii="Arial" w:eastAsia="Times New Roman" w:hAnsi="Arial" w:cs="Times New Roman"/>
      <w:sz w:val="20"/>
      <w:szCs w:val="24"/>
      <w:lang w:val="en-US" w:bidi="en-US"/>
    </w:rPr>
  </w:style>
  <w:style w:type="paragraph" w:styleId="Zkladntext2">
    <w:name w:val="Body Text 2"/>
    <w:basedOn w:val="Normln"/>
    <w:link w:val="Zkladntext2Char"/>
    <w:rsid w:val="003E1B90"/>
    <w:pPr>
      <w:spacing w:after="120" w:line="480" w:lineRule="auto"/>
    </w:pPr>
    <w:rPr>
      <w:rFonts w:ascii="Times New Roman" w:eastAsia="Times New Roman" w:hAnsi="Times New Roman" w:cs="Times New Roman"/>
      <w:sz w:val="24"/>
      <w:szCs w:val="24"/>
      <w:lang w:val="en-US" w:bidi="en-US"/>
    </w:rPr>
  </w:style>
  <w:style w:type="character" w:customStyle="1" w:styleId="Zkladntext2Char">
    <w:name w:val="Základní text 2 Char"/>
    <w:basedOn w:val="Standardnpsmoodstavce"/>
    <w:link w:val="Zkladntext2"/>
    <w:rsid w:val="003E1B90"/>
    <w:rPr>
      <w:rFonts w:ascii="Times New Roman" w:eastAsia="Times New Roman" w:hAnsi="Times New Roman" w:cs="Times New Roman"/>
      <w:sz w:val="24"/>
      <w:szCs w:val="24"/>
      <w:lang w:val="en-US" w:bidi="en-US"/>
    </w:rPr>
  </w:style>
  <w:style w:type="paragraph" w:customStyle="1" w:styleId="StylStylStyl11bZarovnatdoblokuTimesNewRomanVlevo1">
    <w:name w:val="Styl Styl Styl 11 b. Zarovnat do bloku + Times New Roman + Vlevo: ...1"/>
    <w:basedOn w:val="Normln"/>
    <w:rsid w:val="003E1B90"/>
    <w:pPr>
      <w:spacing w:before="40" w:after="40" w:line="240" w:lineRule="auto"/>
      <w:jc w:val="both"/>
    </w:pPr>
    <w:rPr>
      <w:rFonts w:ascii="Arial" w:eastAsia="Times New Roman" w:hAnsi="Arial" w:cs="Times New Roman"/>
      <w:szCs w:val="20"/>
      <w:lang w:val="en-US" w:bidi="en-US"/>
    </w:rPr>
  </w:style>
  <w:style w:type="paragraph" w:customStyle="1" w:styleId="Hladktext">
    <w:name w:val="Hladký  text"/>
    <w:link w:val="HladktextChar"/>
    <w:rsid w:val="003E1B90"/>
    <w:pPr>
      <w:spacing w:after="0" w:line="290" w:lineRule="exact"/>
    </w:pPr>
    <w:rPr>
      <w:rFonts w:ascii="Arial" w:eastAsia="Times New Roman" w:hAnsi="Arial" w:cs="Times New Roman"/>
      <w:sz w:val="24"/>
      <w:szCs w:val="20"/>
      <w:lang w:val="en-US" w:eastAsia="cs-CZ" w:bidi="en-US"/>
    </w:rPr>
  </w:style>
  <w:style w:type="character" w:customStyle="1" w:styleId="HladktextChar">
    <w:name w:val="Hladký  text Char"/>
    <w:link w:val="Hladktext"/>
    <w:rsid w:val="003E1B90"/>
    <w:rPr>
      <w:rFonts w:ascii="Arial" w:eastAsia="Times New Roman" w:hAnsi="Arial" w:cs="Times New Roman"/>
      <w:sz w:val="24"/>
      <w:szCs w:val="20"/>
      <w:lang w:val="en-US" w:eastAsia="cs-CZ" w:bidi="en-US"/>
    </w:rPr>
  </w:style>
  <w:style w:type="paragraph" w:customStyle="1" w:styleId="Normodstavec">
    <w:name w:val="Norm_odstavec"/>
    <w:basedOn w:val="Normln"/>
    <w:rsid w:val="003E1B90"/>
    <w:pPr>
      <w:tabs>
        <w:tab w:val="left" w:pos="284"/>
        <w:tab w:val="left" w:pos="851"/>
        <w:tab w:val="center" w:pos="6804"/>
        <w:tab w:val="decimal" w:pos="8222"/>
      </w:tabs>
      <w:overflowPunct w:val="0"/>
      <w:autoSpaceDE w:val="0"/>
      <w:autoSpaceDN w:val="0"/>
      <w:adjustRightInd w:val="0"/>
      <w:spacing w:before="240" w:after="40" w:line="240" w:lineRule="auto"/>
      <w:jc w:val="both"/>
      <w:textAlignment w:val="baseline"/>
    </w:pPr>
    <w:rPr>
      <w:rFonts w:ascii="Times New Roman" w:eastAsia="Times New Roman" w:hAnsi="Times New Roman" w:cs="Times New Roman"/>
      <w:sz w:val="24"/>
      <w:szCs w:val="20"/>
      <w:lang w:val="en-US" w:bidi="en-US"/>
    </w:rPr>
  </w:style>
  <w:style w:type="paragraph" w:customStyle="1" w:styleId="StylZaorkou6b">
    <w:name w:val="Styl Za:orážkou 6 b."/>
    <w:basedOn w:val="Normln"/>
    <w:rsid w:val="003E1B90"/>
    <w:pPr>
      <w:numPr>
        <w:numId w:val="22"/>
      </w:numPr>
      <w:spacing w:after="120" w:line="240" w:lineRule="auto"/>
      <w:jc w:val="both"/>
    </w:pPr>
    <w:rPr>
      <w:rFonts w:ascii="Arial" w:eastAsia="Times New Roman" w:hAnsi="Arial" w:cs="Times New Roman"/>
      <w:szCs w:val="20"/>
      <w:lang w:val="en-US" w:bidi="en-US"/>
    </w:rPr>
  </w:style>
  <w:style w:type="paragraph" w:customStyle="1" w:styleId="Zkladntext31">
    <w:name w:val="Základní text 31"/>
    <w:basedOn w:val="Normln"/>
    <w:uiPriority w:val="99"/>
    <w:rsid w:val="003E1B90"/>
    <w:pPr>
      <w:suppressAutoHyphens/>
      <w:spacing w:after="0" w:line="240" w:lineRule="auto"/>
      <w:jc w:val="both"/>
    </w:pPr>
    <w:rPr>
      <w:rFonts w:ascii="Times New Roman" w:eastAsia="Times New Roman" w:hAnsi="Times New Roman" w:cs="Times New Roman"/>
      <w:szCs w:val="20"/>
      <w:lang w:val="en-US" w:eastAsia="ar-SA" w:bidi="en-US"/>
    </w:rPr>
  </w:style>
  <w:style w:type="character" w:styleId="Odkaznakoment">
    <w:name w:val="annotation reference"/>
    <w:rsid w:val="003E1B90"/>
    <w:rPr>
      <w:sz w:val="16"/>
      <w:szCs w:val="16"/>
    </w:rPr>
  </w:style>
  <w:style w:type="paragraph" w:styleId="Textkomente">
    <w:name w:val="annotation text"/>
    <w:basedOn w:val="Normln"/>
    <w:link w:val="TextkomenteChar"/>
    <w:rsid w:val="003E1B90"/>
    <w:pPr>
      <w:spacing w:after="0" w:line="240" w:lineRule="auto"/>
    </w:pPr>
    <w:rPr>
      <w:rFonts w:ascii="Times New Roman" w:eastAsia="Times New Roman" w:hAnsi="Times New Roman" w:cs="Times New Roman"/>
      <w:sz w:val="20"/>
      <w:szCs w:val="20"/>
      <w:lang w:val="en-US" w:bidi="en-US"/>
    </w:rPr>
  </w:style>
  <w:style w:type="character" w:customStyle="1" w:styleId="TextkomenteChar">
    <w:name w:val="Text komentáře Char"/>
    <w:basedOn w:val="Standardnpsmoodstavce"/>
    <w:link w:val="Textkomente"/>
    <w:rsid w:val="003E1B90"/>
    <w:rPr>
      <w:rFonts w:ascii="Times New Roman" w:eastAsia="Times New Roman" w:hAnsi="Times New Roman" w:cs="Times New Roman"/>
      <w:sz w:val="20"/>
      <w:szCs w:val="20"/>
      <w:lang w:val="en-US" w:bidi="en-US"/>
    </w:rPr>
  </w:style>
  <w:style w:type="paragraph" w:styleId="Pedmtkomente">
    <w:name w:val="annotation subject"/>
    <w:basedOn w:val="Textkomente"/>
    <w:next w:val="Textkomente"/>
    <w:link w:val="PedmtkomenteChar"/>
    <w:rsid w:val="003E1B90"/>
    <w:rPr>
      <w:b/>
      <w:bCs/>
    </w:rPr>
  </w:style>
  <w:style w:type="character" w:customStyle="1" w:styleId="PedmtkomenteChar">
    <w:name w:val="Předmět komentáře Char"/>
    <w:basedOn w:val="TextkomenteChar"/>
    <w:link w:val="Pedmtkomente"/>
    <w:rsid w:val="003E1B90"/>
    <w:rPr>
      <w:rFonts w:ascii="Times New Roman" w:eastAsia="Times New Roman" w:hAnsi="Times New Roman" w:cs="Times New Roman"/>
      <w:b/>
      <w:bCs/>
      <w:sz w:val="20"/>
      <w:szCs w:val="20"/>
      <w:lang w:val="en-US" w:bidi="en-US"/>
    </w:rPr>
  </w:style>
  <w:style w:type="paragraph" w:styleId="Revize">
    <w:name w:val="Revision"/>
    <w:hidden/>
    <w:uiPriority w:val="99"/>
    <w:semiHidden/>
    <w:rsid w:val="003E1B90"/>
    <w:pPr>
      <w:spacing w:after="0" w:line="240" w:lineRule="auto"/>
    </w:pPr>
    <w:rPr>
      <w:rFonts w:ascii="Times New Roman" w:eastAsia="Times New Roman" w:hAnsi="Times New Roman" w:cs="Times New Roman"/>
      <w:sz w:val="24"/>
      <w:szCs w:val="24"/>
      <w:lang w:val="en-US" w:eastAsia="cs-CZ" w:bidi="en-US"/>
    </w:rPr>
  </w:style>
  <w:style w:type="paragraph" w:customStyle="1" w:styleId="Odstavecseseznamem1">
    <w:name w:val="Odstavec se seznamem1"/>
    <w:basedOn w:val="Normln"/>
    <w:rsid w:val="003E1B90"/>
    <w:pPr>
      <w:spacing w:after="0" w:line="240" w:lineRule="auto"/>
      <w:ind w:left="720"/>
    </w:pPr>
    <w:rPr>
      <w:rFonts w:ascii="Times New Roman" w:eastAsia="Times New Roman" w:hAnsi="Times New Roman" w:cs="Times New Roman"/>
      <w:sz w:val="24"/>
      <w:szCs w:val="24"/>
      <w:lang w:val="en-US" w:bidi="en-US"/>
    </w:rPr>
  </w:style>
  <w:style w:type="paragraph" w:customStyle="1" w:styleId="TEXTOLD">
    <w:name w:val="TEXT_OLD"/>
    <w:basedOn w:val="Normln"/>
    <w:link w:val="TEXTOLDChar"/>
    <w:rsid w:val="003E1B90"/>
    <w:pPr>
      <w:spacing w:after="120" w:line="264" w:lineRule="auto"/>
      <w:ind w:firstLine="425"/>
      <w:jc w:val="both"/>
    </w:pPr>
    <w:rPr>
      <w:rFonts w:eastAsia="Times New Roman" w:cs="Arial"/>
      <w:sz w:val="24"/>
      <w:szCs w:val="24"/>
      <w:lang w:val="en-US" w:bidi="en-US"/>
    </w:rPr>
  </w:style>
  <w:style w:type="character" w:customStyle="1" w:styleId="TEXTOLDChar">
    <w:name w:val="TEXT_OLD Char"/>
    <w:basedOn w:val="Standardnpsmoodstavce"/>
    <w:link w:val="TEXTOLD"/>
    <w:rsid w:val="003E1B90"/>
    <w:rPr>
      <w:rFonts w:eastAsia="Times New Roman" w:cs="Arial"/>
      <w:sz w:val="24"/>
      <w:szCs w:val="24"/>
      <w:lang w:val="en-US" w:bidi="en-US"/>
    </w:rPr>
  </w:style>
  <w:style w:type="paragraph" w:customStyle="1" w:styleId="Default">
    <w:name w:val="Default"/>
    <w:rsid w:val="003E1B90"/>
    <w:pPr>
      <w:autoSpaceDE w:val="0"/>
      <w:autoSpaceDN w:val="0"/>
      <w:adjustRightInd w:val="0"/>
      <w:spacing w:after="0" w:line="240" w:lineRule="auto"/>
    </w:pPr>
    <w:rPr>
      <w:rFonts w:ascii="Times New Roman" w:eastAsia="Times New Roman" w:hAnsi="Times New Roman" w:cs="Times New Roman"/>
      <w:color w:val="000000"/>
      <w:sz w:val="24"/>
      <w:szCs w:val="24"/>
      <w:lang w:val="en-US" w:eastAsia="cs-CZ" w:bidi="en-US"/>
    </w:rPr>
  </w:style>
  <w:style w:type="paragraph" w:customStyle="1" w:styleId="NADPIS">
    <w:name w:val="NADPIS"/>
    <w:basedOn w:val="Normln"/>
    <w:link w:val="NADPISChar"/>
    <w:rsid w:val="003E1B90"/>
    <w:pPr>
      <w:keepNext/>
      <w:spacing w:before="360" w:after="60" w:line="276" w:lineRule="auto"/>
      <w:outlineLvl w:val="0"/>
    </w:pPr>
    <w:rPr>
      <w:rFonts w:eastAsia="Times New Roman" w:cs="Arial"/>
      <w:b/>
      <w:bCs/>
      <w:kern w:val="32"/>
      <w:sz w:val="28"/>
      <w:szCs w:val="28"/>
      <w:lang w:val="en-US" w:bidi="en-US"/>
    </w:rPr>
  </w:style>
  <w:style w:type="character" w:customStyle="1" w:styleId="NADPISChar">
    <w:name w:val="NADPIS Char"/>
    <w:basedOn w:val="Standardnpsmoodstavce"/>
    <w:link w:val="NADPIS"/>
    <w:rsid w:val="003E1B90"/>
    <w:rPr>
      <w:rFonts w:eastAsia="Times New Roman" w:cs="Arial"/>
      <w:b/>
      <w:bCs/>
      <w:kern w:val="32"/>
      <w:sz w:val="28"/>
      <w:szCs w:val="28"/>
      <w:lang w:val="en-US" w:bidi="en-US"/>
    </w:rPr>
  </w:style>
  <w:style w:type="paragraph" w:customStyle="1" w:styleId="NADPISHODNOCEN">
    <w:name w:val="NADPIS_HODNOCENÍ"/>
    <w:basedOn w:val="NADPIS"/>
    <w:link w:val="NADPISHODNOCENChar"/>
    <w:qFormat/>
    <w:rsid w:val="003E1B90"/>
    <w:pPr>
      <w:spacing w:after="0" w:line="240" w:lineRule="auto"/>
    </w:pPr>
  </w:style>
  <w:style w:type="character" w:customStyle="1" w:styleId="NADPISHODNOCENChar">
    <w:name w:val="NADPIS_HODNOCENÍ Char"/>
    <w:basedOn w:val="NADPISChar"/>
    <w:link w:val="NADPISHODNOCEN"/>
    <w:rsid w:val="003E1B90"/>
    <w:rPr>
      <w:rFonts w:eastAsia="Times New Roman" w:cs="Arial"/>
      <w:b/>
      <w:bCs/>
      <w:kern w:val="32"/>
      <w:sz w:val="28"/>
      <w:szCs w:val="28"/>
      <w:lang w:val="en-US" w:bidi="en-US"/>
    </w:rPr>
  </w:style>
  <w:style w:type="paragraph" w:styleId="Textpoznpodarou">
    <w:name w:val="footnote text"/>
    <w:basedOn w:val="Normln"/>
    <w:link w:val="TextpoznpodarouChar"/>
    <w:semiHidden/>
    <w:unhideWhenUsed/>
    <w:rsid w:val="003E1B90"/>
    <w:pPr>
      <w:spacing w:after="0" w:line="240" w:lineRule="auto"/>
    </w:pPr>
    <w:rPr>
      <w:rFonts w:ascii="Times New Roman" w:eastAsia="Times New Roman" w:hAnsi="Times New Roman" w:cs="Times New Roman"/>
      <w:sz w:val="20"/>
      <w:szCs w:val="20"/>
      <w:lang w:val="en-US" w:bidi="en-US"/>
    </w:rPr>
  </w:style>
  <w:style w:type="character" w:customStyle="1" w:styleId="TextpoznpodarouChar">
    <w:name w:val="Text pozn. pod čarou Char"/>
    <w:basedOn w:val="Standardnpsmoodstavce"/>
    <w:link w:val="Textpoznpodarou"/>
    <w:semiHidden/>
    <w:rsid w:val="003E1B90"/>
    <w:rPr>
      <w:rFonts w:ascii="Times New Roman" w:eastAsia="Times New Roman" w:hAnsi="Times New Roman" w:cs="Times New Roman"/>
      <w:sz w:val="20"/>
      <w:szCs w:val="20"/>
      <w:lang w:val="en-US" w:bidi="en-US"/>
    </w:rPr>
  </w:style>
  <w:style w:type="paragraph" w:styleId="Obsah3">
    <w:name w:val="toc 3"/>
    <w:basedOn w:val="Normln"/>
    <w:next w:val="Normln"/>
    <w:autoRedefine/>
    <w:uiPriority w:val="39"/>
    <w:unhideWhenUsed/>
    <w:qFormat/>
    <w:rsid w:val="003E1B90"/>
    <w:pPr>
      <w:spacing w:after="100" w:line="276" w:lineRule="auto"/>
      <w:ind w:left="440"/>
    </w:pPr>
    <w:rPr>
      <w:rFonts w:eastAsiaTheme="minorEastAsia"/>
      <w:lang w:val="en-US" w:bidi="en-US"/>
    </w:rPr>
  </w:style>
  <w:style w:type="paragraph" w:styleId="Titulek">
    <w:name w:val="caption"/>
    <w:basedOn w:val="Normln"/>
    <w:next w:val="Normln"/>
    <w:uiPriority w:val="35"/>
    <w:semiHidden/>
    <w:unhideWhenUsed/>
    <w:qFormat/>
    <w:rsid w:val="003E1B90"/>
    <w:pPr>
      <w:spacing w:after="200" w:line="240" w:lineRule="auto"/>
    </w:pPr>
    <w:rPr>
      <w:rFonts w:eastAsiaTheme="minorEastAsia"/>
      <w:b/>
      <w:bCs/>
      <w:color w:val="A5300F" w:themeColor="accent1"/>
      <w:sz w:val="18"/>
      <w:szCs w:val="18"/>
      <w:lang w:val="en-US" w:bidi="en-US"/>
    </w:rPr>
  </w:style>
  <w:style w:type="paragraph" w:styleId="Obsah5">
    <w:name w:val="toc 5"/>
    <w:basedOn w:val="Normln"/>
    <w:next w:val="Normln"/>
    <w:autoRedefine/>
    <w:uiPriority w:val="39"/>
    <w:semiHidden/>
    <w:unhideWhenUsed/>
    <w:rsid w:val="003E1B90"/>
    <w:pPr>
      <w:spacing w:after="100" w:line="276" w:lineRule="auto"/>
      <w:ind w:left="880"/>
    </w:pPr>
    <w:rPr>
      <w:rFonts w:eastAsiaTheme="minorEastAsia"/>
      <w:lang w:val="en-US" w:bidi="en-US"/>
    </w:rPr>
  </w:style>
  <w:style w:type="table" w:styleId="Tabulkasmkou4zvraznn1">
    <w:name w:val="Grid Table 4 Accent 1"/>
    <w:basedOn w:val="Normlntabulka"/>
    <w:uiPriority w:val="49"/>
    <w:rsid w:val="002C0E1B"/>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Tmavtabulkasmkou5zvraznn1">
    <w:name w:val="Grid Table 5 Dark Accent 1"/>
    <w:basedOn w:val="Normlntabulka"/>
    <w:uiPriority w:val="50"/>
    <w:rsid w:val="00A621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character" w:customStyle="1" w:styleId="UnresolvedMention">
    <w:name w:val="Unresolved Mention"/>
    <w:basedOn w:val="Standardnpsmoodstavce"/>
    <w:uiPriority w:val="99"/>
    <w:semiHidden/>
    <w:unhideWhenUsed/>
    <w:rsid w:val="00B30E59"/>
    <w:rPr>
      <w:color w:val="808080"/>
      <w:shd w:val="clear" w:color="auto" w:fill="E6E6E6"/>
    </w:rPr>
  </w:style>
  <w:style w:type="paragraph" w:customStyle="1" w:styleId="TEXTzaTAB">
    <w:name w:val="TEXT za TAB"/>
    <w:basedOn w:val="TEXT"/>
    <w:link w:val="TEXTzaTABChar"/>
    <w:qFormat/>
    <w:rsid w:val="00A1405A"/>
    <w:pPr>
      <w:spacing w:before="240" w:after="60" w:line="288" w:lineRule="auto"/>
      <w:ind w:firstLine="425"/>
    </w:pPr>
    <w:rPr>
      <w:rFonts w:ascii="Times New Roman" w:eastAsia="Times New Roman" w:hAnsi="Times New Roman" w:cs="Times New Roman"/>
      <w:lang w:eastAsia="cs-CZ"/>
    </w:rPr>
  </w:style>
  <w:style w:type="character" w:customStyle="1" w:styleId="TEXTzaTABChar">
    <w:name w:val="TEXT za TAB Char"/>
    <w:basedOn w:val="TEXTChar"/>
    <w:link w:val="TEXTzaTAB"/>
    <w:rsid w:val="00A1405A"/>
    <w:rPr>
      <w:rFonts w:ascii="Times New Roman" w:eastAsia="Times New Roman" w:hAnsi="Times New Roman" w:cs="Times New Roman"/>
      <w:sz w:val="24"/>
      <w:szCs w:val="24"/>
      <w:lang w:val="en-US" w:eastAsia="cs-CZ"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pskoda.cz/" TargetMode="External"/><Relationship Id="rId18" Type="http://schemas.openxmlformats.org/officeDocument/2006/relationships/chart" Target="charts/chart2.xml"/><Relationship Id="rId26" Type="http://schemas.openxmlformats.org/officeDocument/2006/relationships/hyperlink" Target="http://www.zpskoda.cz/" TargetMode="External"/><Relationship Id="rId3" Type="http://schemas.openxmlformats.org/officeDocument/2006/relationships/numbering" Target="numbering.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zp.cz/" TargetMode="External"/><Relationship Id="rId17" Type="http://schemas.openxmlformats.org/officeDocument/2006/relationships/chart" Target="charts/chart1.xml"/><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vozp.cz/"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zp.cz/main/index.php" TargetMode="External"/><Relationship Id="rId24" Type="http://schemas.openxmlformats.org/officeDocument/2006/relationships/hyperlink" Target="http://www.ozp.cz/"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bp-zp.cz/" TargetMode="External"/><Relationship Id="rId23" Type="http://schemas.openxmlformats.org/officeDocument/2006/relationships/chart" Target="charts/chart5.xml"/><Relationship Id="rId28" Type="http://schemas.openxmlformats.org/officeDocument/2006/relationships/hyperlink" Target="http://www.zpmvcr.cz/" TargetMode="External"/><Relationship Id="rId10" Type="http://schemas.openxmlformats.org/officeDocument/2006/relationships/hyperlink" Target="http://www.vozp.cz/" TargetMode="External"/><Relationship Id="rId19" Type="http://schemas.openxmlformats.org/officeDocument/2006/relationships/chart" Target="charts/chart3.xml"/><Relationship Id="rId31" Type="http://schemas.openxmlformats.org/officeDocument/2006/relationships/chart" Target="charts/chart9.xml"/><Relationship Id="rId4" Type="http://schemas.openxmlformats.org/officeDocument/2006/relationships/styles" Target="styles.xml"/><Relationship Id="rId9" Type="http://schemas.openxmlformats.org/officeDocument/2006/relationships/hyperlink" Target="http://www.vzp.cz/" TargetMode="External"/><Relationship Id="rId14" Type="http://schemas.openxmlformats.org/officeDocument/2006/relationships/hyperlink" Target="http://www.zpmvcr.cz/" TargetMode="External"/><Relationship Id="rId22" Type="http://schemas.openxmlformats.org/officeDocument/2006/relationships/hyperlink" Target="http://www.cpzp.cz/main/index.php" TargetMode="External"/><Relationship Id="rId27" Type="http://schemas.openxmlformats.org/officeDocument/2006/relationships/chart" Target="charts/chart7.xml"/><Relationship Id="rId30" Type="http://schemas.openxmlformats.org/officeDocument/2006/relationships/hyperlink" Target="http://www.rbp-zp.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List1!$B$3:$H$3</c:f>
              <c:strCache>
                <c:ptCount val="7"/>
                <c:pt idx="0">
                  <c:v> VZP ČR </c:v>
                </c:pt>
                <c:pt idx="1">
                  <c:v> VoZP ČR </c:v>
                </c:pt>
                <c:pt idx="2">
                  <c:v> ČPZP </c:v>
                </c:pt>
                <c:pt idx="3">
                  <c:v> OZP </c:v>
                </c:pt>
                <c:pt idx="4">
                  <c:v> ZPŠ </c:v>
                </c:pt>
                <c:pt idx="5">
                  <c:v> ZP MV ČR </c:v>
                </c:pt>
                <c:pt idx="6">
                  <c:v> RBP </c:v>
                </c:pt>
              </c:strCache>
            </c:strRef>
          </c:cat>
          <c:val>
            <c:numRef>
              <c:f>List1!$B$4:$H$4</c:f>
              <c:numCache>
                <c:formatCode>_-* #,##0\ _K_č_-;\-* #,##0\ _K_č_-;_-* "-"??\ _K_č_-;_-@_-</c:formatCode>
                <c:ptCount val="7"/>
                <c:pt idx="0">
                  <c:v>15654</c:v>
                </c:pt>
                <c:pt idx="1">
                  <c:v>959</c:v>
                </c:pt>
                <c:pt idx="2">
                  <c:v>3202</c:v>
                </c:pt>
                <c:pt idx="3">
                  <c:v>2878</c:v>
                </c:pt>
                <c:pt idx="4">
                  <c:v>655</c:v>
                </c:pt>
                <c:pt idx="5">
                  <c:v>3763</c:v>
                </c:pt>
                <c:pt idx="6">
                  <c:v>1434</c:v>
                </c:pt>
              </c:numCache>
            </c:numRef>
          </c:val>
          <c:extLst xmlns:c16r2="http://schemas.microsoft.com/office/drawing/2015/06/chart">
            <c:ext xmlns:c16="http://schemas.microsoft.com/office/drawing/2014/chart" uri="{C3380CC4-5D6E-409C-BE32-E72D297353CC}">
              <c16:uniqueId val="{00000000-AB9E-4C72-B81B-FFE8ED926D19}"/>
            </c:ext>
          </c:extLst>
        </c:ser>
        <c:dLbls>
          <c:dLblPos val="outEnd"/>
          <c:showLegendKey val="0"/>
          <c:showVal val="1"/>
          <c:showCatName val="0"/>
          <c:showSerName val="0"/>
          <c:showPercent val="0"/>
          <c:showBubbleSize val="0"/>
        </c:dLbls>
        <c:gapWidth val="315"/>
        <c:overlap val="-40"/>
        <c:axId val="429535136"/>
        <c:axId val="429527688"/>
      </c:barChart>
      <c:catAx>
        <c:axId val="42953513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29527688"/>
        <c:crosses val="autoZero"/>
        <c:auto val="1"/>
        <c:lblAlgn val="ctr"/>
        <c:lblOffset val="100"/>
        <c:noMultiLvlLbl val="0"/>
      </c:catAx>
      <c:valAx>
        <c:axId val="42952768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 _K_č_-;\-* #,##0\ _K_č_-;_-* &quot;-&quot;??\ _K_č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295351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List1!$B$23:$H$23</c:f>
              <c:strCache>
                <c:ptCount val="7"/>
                <c:pt idx="0">
                  <c:v> VZP ČR </c:v>
                </c:pt>
                <c:pt idx="1">
                  <c:v> VoZP ČR </c:v>
                </c:pt>
                <c:pt idx="2">
                  <c:v> ČPZP </c:v>
                </c:pt>
                <c:pt idx="3">
                  <c:v> OZP </c:v>
                </c:pt>
                <c:pt idx="4">
                  <c:v> ZPŠ </c:v>
                </c:pt>
                <c:pt idx="5">
                  <c:v> ZP MV ČR </c:v>
                </c:pt>
                <c:pt idx="6">
                  <c:v> RBP </c:v>
                </c:pt>
              </c:strCache>
            </c:strRef>
          </c:cat>
          <c:val>
            <c:numRef>
              <c:f>List1!$B$24:$H$24</c:f>
              <c:numCache>
                <c:formatCode>General</c:formatCode>
                <c:ptCount val="7"/>
                <c:pt idx="0">
                  <c:v>12</c:v>
                </c:pt>
                <c:pt idx="1">
                  <c:v>9</c:v>
                </c:pt>
                <c:pt idx="2">
                  <c:v>20</c:v>
                </c:pt>
                <c:pt idx="3">
                  <c:v>30</c:v>
                </c:pt>
                <c:pt idx="4">
                  <c:v>37</c:v>
                </c:pt>
                <c:pt idx="5">
                  <c:v>15</c:v>
                </c:pt>
                <c:pt idx="6">
                  <c:v>33</c:v>
                </c:pt>
              </c:numCache>
            </c:numRef>
          </c:val>
          <c:extLst xmlns:c16r2="http://schemas.microsoft.com/office/drawing/2015/06/chart">
            <c:ext xmlns:c16="http://schemas.microsoft.com/office/drawing/2014/chart" uri="{C3380CC4-5D6E-409C-BE32-E72D297353CC}">
              <c16:uniqueId val="{00000000-54BF-4AF2-8677-025DEB64D949}"/>
            </c:ext>
          </c:extLst>
        </c:ser>
        <c:dLbls>
          <c:dLblPos val="outEnd"/>
          <c:showLegendKey val="0"/>
          <c:showVal val="1"/>
          <c:showCatName val="0"/>
          <c:showSerName val="0"/>
          <c:showPercent val="0"/>
          <c:showBubbleSize val="0"/>
        </c:dLbls>
        <c:gapWidth val="315"/>
        <c:overlap val="-40"/>
        <c:axId val="429529648"/>
        <c:axId val="429530040"/>
      </c:barChart>
      <c:catAx>
        <c:axId val="42952964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29530040"/>
        <c:crosses val="autoZero"/>
        <c:auto val="1"/>
        <c:lblAlgn val="ctr"/>
        <c:lblOffset val="100"/>
        <c:noMultiLvlLbl val="0"/>
      </c:catAx>
      <c:valAx>
        <c:axId val="42953004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29529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List1!$A$47</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List1!$B$46:$F$46</c:f>
              <c:strCache>
                <c:ptCount val="5"/>
                <c:pt idx="0">
                  <c:v>2014</c:v>
                </c:pt>
                <c:pt idx="1">
                  <c:v>2015</c:v>
                </c:pt>
                <c:pt idx="2">
                  <c:v>2016</c:v>
                </c:pt>
                <c:pt idx="3">
                  <c:v>2017*</c:v>
                </c:pt>
                <c:pt idx="4">
                  <c:v>2018**</c:v>
                </c:pt>
              </c:strCache>
            </c:strRef>
          </c:cat>
          <c:val>
            <c:numRef>
              <c:f>List1!$B$47:$F$47</c:f>
              <c:numCache>
                <c:formatCode>#,##0</c:formatCode>
                <c:ptCount val="5"/>
                <c:pt idx="0">
                  <c:v>149333</c:v>
                </c:pt>
                <c:pt idx="1">
                  <c:v>155374</c:v>
                </c:pt>
                <c:pt idx="2">
                  <c:v>161606</c:v>
                </c:pt>
                <c:pt idx="3">
                  <c:v>170161</c:v>
                </c:pt>
                <c:pt idx="4">
                  <c:v>178905</c:v>
                </c:pt>
              </c:numCache>
            </c:numRef>
          </c:val>
          <c:smooth val="0"/>
          <c:extLst xmlns:c16r2="http://schemas.microsoft.com/office/drawing/2015/06/chart">
            <c:ext xmlns:c16="http://schemas.microsoft.com/office/drawing/2014/chart" uri="{C3380CC4-5D6E-409C-BE32-E72D297353CC}">
              <c16:uniqueId val="{00000000-C285-413C-945F-CC502B462DE6}"/>
            </c:ext>
          </c:extLst>
        </c:ser>
        <c:ser>
          <c:idx val="1"/>
          <c:order val="1"/>
          <c:tx>
            <c:strRef>
              <c:f>List1!$A$48</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List1!$B$46:$F$46</c:f>
              <c:strCache>
                <c:ptCount val="5"/>
                <c:pt idx="0">
                  <c:v>2014</c:v>
                </c:pt>
                <c:pt idx="1">
                  <c:v>2015</c:v>
                </c:pt>
                <c:pt idx="2">
                  <c:v>2016</c:v>
                </c:pt>
                <c:pt idx="3">
                  <c:v>2017*</c:v>
                </c:pt>
                <c:pt idx="4">
                  <c:v>2018**</c:v>
                </c:pt>
              </c:strCache>
            </c:strRef>
          </c:cat>
          <c:val>
            <c:numRef>
              <c:f>List1!$B$48:$F$48</c:f>
              <c:numCache>
                <c:formatCode>#,##0</c:formatCode>
                <c:ptCount val="5"/>
                <c:pt idx="0">
                  <c:v>146327</c:v>
                </c:pt>
                <c:pt idx="1">
                  <c:v>153699</c:v>
                </c:pt>
                <c:pt idx="2">
                  <c:v>155975</c:v>
                </c:pt>
                <c:pt idx="3">
                  <c:v>165098</c:v>
                </c:pt>
                <c:pt idx="4">
                  <c:v>177522</c:v>
                </c:pt>
              </c:numCache>
            </c:numRef>
          </c:val>
          <c:smooth val="0"/>
          <c:extLst xmlns:c16r2="http://schemas.microsoft.com/office/drawing/2015/06/chart">
            <c:ext xmlns:c16="http://schemas.microsoft.com/office/drawing/2014/chart" uri="{C3380CC4-5D6E-409C-BE32-E72D297353CC}">
              <c16:uniqueId val="{00000001-C285-413C-945F-CC502B462DE6}"/>
            </c:ext>
          </c:extLst>
        </c:ser>
        <c:dLbls>
          <c:showLegendKey val="0"/>
          <c:showVal val="0"/>
          <c:showCatName val="0"/>
          <c:showSerName val="0"/>
          <c:showPercent val="0"/>
          <c:showBubbleSize val="0"/>
        </c:dLbls>
        <c:smooth val="0"/>
        <c:axId val="429532000"/>
        <c:axId val="353538128"/>
      </c:lineChart>
      <c:catAx>
        <c:axId val="42953200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353538128"/>
        <c:crosses val="autoZero"/>
        <c:auto val="1"/>
        <c:lblAlgn val="ctr"/>
        <c:lblOffset val="100"/>
        <c:noMultiLvlLbl val="0"/>
      </c:catAx>
      <c:valAx>
        <c:axId val="353538128"/>
        <c:scaling>
          <c:orientation val="minMax"/>
          <c:max val="180000"/>
          <c:min val="140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29532000"/>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List1!$A$60</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List1!$B$59:$F$59</c:f>
              <c:strCache>
                <c:ptCount val="5"/>
                <c:pt idx="0">
                  <c:v>2014</c:v>
                </c:pt>
                <c:pt idx="1">
                  <c:v>2015</c:v>
                </c:pt>
                <c:pt idx="2">
                  <c:v>2016</c:v>
                </c:pt>
                <c:pt idx="3">
                  <c:v>2017*</c:v>
                </c:pt>
                <c:pt idx="4">
                  <c:v>2018**</c:v>
                </c:pt>
              </c:strCache>
            </c:strRef>
          </c:cat>
          <c:val>
            <c:numRef>
              <c:f>List1!$B$60:$F$60</c:f>
              <c:numCache>
                <c:formatCode>#,##0</c:formatCode>
                <c:ptCount val="5"/>
                <c:pt idx="0">
                  <c:v>14772</c:v>
                </c:pt>
                <c:pt idx="1">
                  <c:v>15565</c:v>
                </c:pt>
                <c:pt idx="2">
                  <c:v>16259</c:v>
                </c:pt>
                <c:pt idx="3">
                  <c:v>17611</c:v>
                </c:pt>
                <c:pt idx="4">
                  <c:v>18942</c:v>
                </c:pt>
              </c:numCache>
            </c:numRef>
          </c:val>
          <c:smooth val="0"/>
          <c:extLst xmlns:c16r2="http://schemas.microsoft.com/office/drawing/2015/06/chart">
            <c:ext xmlns:c16="http://schemas.microsoft.com/office/drawing/2014/chart" uri="{C3380CC4-5D6E-409C-BE32-E72D297353CC}">
              <c16:uniqueId val="{00000000-018E-491A-98F3-9B94D5564E61}"/>
            </c:ext>
          </c:extLst>
        </c:ser>
        <c:ser>
          <c:idx val="1"/>
          <c:order val="1"/>
          <c:tx>
            <c:strRef>
              <c:f>List1!$A$61</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List1!$B$59:$F$59</c:f>
              <c:strCache>
                <c:ptCount val="5"/>
                <c:pt idx="0">
                  <c:v>2014</c:v>
                </c:pt>
                <c:pt idx="1">
                  <c:v>2015</c:v>
                </c:pt>
                <c:pt idx="2">
                  <c:v>2016</c:v>
                </c:pt>
                <c:pt idx="3">
                  <c:v>2017*</c:v>
                </c:pt>
                <c:pt idx="4">
                  <c:v>2018**</c:v>
                </c:pt>
              </c:strCache>
            </c:strRef>
          </c:cat>
          <c:val>
            <c:numRef>
              <c:f>List1!$B$61:$F$61</c:f>
              <c:numCache>
                <c:formatCode>#,##0</c:formatCode>
                <c:ptCount val="5"/>
                <c:pt idx="0">
                  <c:v>14740</c:v>
                </c:pt>
                <c:pt idx="1">
                  <c:v>15633</c:v>
                </c:pt>
                <c:pt idx="2">
                  <c:v>16189</c:v>
                </c:pt>
                <c:pt idx="3">
                  <c:v>17765</c:v>
                </c:pt>
                <c:pt idx="4">
                  <c:v>18891</c:v>
                </c:pt>
              </c:numCache>
            </c:numRef>
          </c:val>
          <c:smooth val="0"/>
          <c:extLst xmlns:c16r2="http://schemas.microsoft.com/office/drawing/2015/06/chart">
            <c:ext xmlns:c16="http://schemas.microsoft.com/office/drawing/2014/chart" uri="{C3380CC4-5D6E-409C-BE32-E72D297353CC}">
              <c16:uniqueId val="{00000001-018E-491A-98F3-9B94D5564E61}"/>
            </c:ext>
          </c:extLst>
        </c:ser>
        <c:dLbls>
          <c:showLegendKey val="0"/>
          <c:showVal val="0"/>
          <c:showCatName val="0"/>
          <c:showSerName val="0"/>
          <c:showPercent val="0"/>
          <c:showBubbleSize val="0"/>
        </c:dLbls>
        <c:smooth val="0"/>
        <c:axId val="353542832"/>
        <c:axId val="353543224"/>
      </c:lineChart>
      <c:catAx>
        <c:axId val="35354283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353543224"/>
        <c:crosses val="autoZero"/>
        <c:auto val="1"/>
        <c:lblAlgn val="ctr"/>
        <c:lblOffset val="100"/>
        <c:noMultiLvlLbl val="0"/>
      </c:catAx>
      <c:valAx>
        <c:axId val="353543224"/>
        <c:scaling>
          <c:orientation val="minMax"/>
          <c:max val="19000"/>
          <c:min val="14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353542832"/>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List1!$A$73</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List1!$B$72:$F$72</c:f>
              <c:strCache>
                <c:ptCount val="5"/>
                <c:pt idx="0">
                  <c:v>2014</c:v>
                </c:pt>
                <c:pt idx="1">
                  <c:v>2015</c:v>
                </c:pt>
                <c:pt idx="2">
                  <c:v>2016</c:v>
                </c:pt>
                <c:pt idx="3">
                  <c:v>2017*</c:v>
                </c:pt>
                <c:pt idx="4">
                  <c:v>2018**</c:v>
                </c:pt>
              </c:strCache>
            </c:strRef>
          </c:cat>
          <c:val>
            <c:numRef>
              <c:f>List1!$B$73:$F$73</c:f>
              <c:numCache>
                <c:formatCode>#,##0</c:formatCode>
                <c:ptCount val="5"/>
                <c:pt idx="0">
                  <c:v>24323</c:v>
                </c:pt>
                <c:pt idx="1">
                  <c:v>25887</c:v>
                </c:pt>
                <c:pt idx="2">
                  <c:v>27710</c:v>
                </c:pt>
                <c:pt idx="3">
                  <c:v>29722</c:v>
                </c:pt>
                <c:pt idx="4">
                  <c:v>31846</c:v>
                </c:pt>
              </c:numCache>
            </c:numRef>
          </c:val>
          <c:smooth val="0"/>
          <c:extLst xmlns:c16r2="http://schemas.microsoft.com/office/drawing/2015/06/chart">
            <c:ext xmlns:c16="http://schemas.microsoft.com/office/drawing/2014/chart" uri="{C3380CC4-5D6E-409C-BE32-E72D297353CC}">
              <c16:uniqueId val="{00000000-62ED-4A47-9ED2-DB7CC8F71C8E}"/>
            </c:ext>
          </c:extLst>
        </c:ser>
        <c:ser>
          <c:idx val="1"/>
          <c:order val="1"/>
          <c:tx>
            <c:strRef>
              <c:f>List1!$A$74</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List1!$B$72:$F$72</c:f>
              <c:strCache>
                <c:ptCount val="5"/>
                <c:pt idx="0">
                  <c:v>2014</c:v>
                </c:pt>
                <c:pt idx="1">
                  <c:v>2015</c:v>
                </c:pt>
                <c:pt idx="2">
                  <c:v>2016</c:v>
                </c:pt>
                <c:pt idx="3">
                  <c:v>2017*</c:v>
                </c:pt>
                <c:pt idx="4">
                  <c:v>2018**</c:v>
                </c:pt>
              </c:strCache>
            </c:strRef>
          </c:cat>
          <c:val>
            <c:numRef>
              <c:f>List1!$B$74:$F$74</c:f>
              <c:numCache>
                <c:formatCode>#,##0</c:formatCode>
                <c:ptCount val="5"/>
                <c:pt idx="0">
                  <c:v>24977</c:v>
                </c:pt>
                <c:pt idx="1">
                  <c:v>26401</c:v>
                </c:pt>
                <c:pt idx="2">
                  <c:v>27452</c:v>
                </c:pt>
                <c:pt idx="3">
                  <c:v>29520</c:v>
                </c:pt>
                <c:pt idx="4">
                  <c:v>31793</c:v>
                </c:pt>
              </c:numCache>
            </c:numRef>
          </c:val>
          <c:smooth val="0"/>
          <c:extLst xmlns:c16r2="http://schemas.microsoft.com/office/drawing/2015/06/chart">
            <c:ext xmlns:c16="http://schemas.microsoft.com/office/drawing/2014/chart" uri="{C3380CC4-5D6E-409C-BE32-E72D297353CC}">
              <c16:uniqueId val="{00000001-62ED-4A47-9ED2-DB7CC8F71C8E}"/>
            </c:ext>
          </c:extLst>
        </c:ser>
        <c:dLbls>
          <c:showLegendKey val="0"/>
          <c:showVal val="0"/>
          <c:showCatName val="0"/>
          <c:showSerName val="0"/>
          <c:showPercent val="0"/>
          <c:showBubbleSize val="0"/>
        </c:dLbls>
        <c:smooth val="0"/>
        <c:axId val="440150552"/>
        <c:axId val="440150944"/>
      </c:lineChart>
      <c:catAx>
        <c:axId val="44015055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40150944"/>
        <c:crosses val="autoZero"/>
        <c:auto val="1"/>
        <c:lblAlgn val="ctr"/>
        <c:lblOffset val="100"/>
        <c:noMultiLvlLbl val="0"/>
      </c:catAx>
      <c:valAx>
        <c:axId val="440150944"/>
        <c:scaling>
          <c:orientation val="minMax"/>
          <c:max val="32000"/>
          <c:min val="24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440150552"/>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List1!$A$84</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List1!$B$83:$F$83</c:f>
              <c:strCache>
                <c:ptCount val="5"/>
                <c:pt idx="0">
                  <c:v>2014</c:v>
                </c:pt>
                <c:pt idx="1">
                  <c:v>2015</c:v>
                </c:pt>
                <c:pt idx="2">
                  <c:v>2016</c:v>
                </c:pt>
                <c:pt idx="3">
                  <c:v>2017*</c:v>
                </c:pt>
                <c:pt idx="4">
                  <c:v>2018**</c:v>
                </c:pt>
              </c:strCache>
            </c:strRef>
          </c:cat>
          <c:val>
            <c:numRef>
              <c:f>List1!$B$84:$F$84</c:f>
              <c:numCache>
                <c:formatCode>#,##0</c:formatCode>
                <c:ptCount val="5"/>
                <c:pt idx="0">
                  <c:v>14893</c:v>
                </c:pt>
                <c:pt idx="1">
                  <c:v>15648</c:v>
                </c:pt>
                <c:pt idx="2">
                  <c:v>16356</c:v>
                </c:pt>
                <c:pt idx="3">
                  <c:v>17827</c:v>
                </c:pt>
                <c:pt idx="4">
                  <c:v>18411</c:v>
                </c:pt>
              </c:numCache>
            </c:numRef>
          </c:val>
          <c:smooth val="0"/>
          <c:extLst xmlns:c16r2="http://schemas.microsoft.com/office/drawing/2015/06/chart">
            <c:ext xmlns:c16="http://schemas.microsoft.com/office/drawing/2014/chart" uri="{C3380CC4-5D6E-409C-BE32-E72D297353CC}">
              <c16:uniqueId val="{00000000-81AB-4C0D-9BD1-644B7F87EE0D}"/>
            </c:ext>
          </c:extLst>
        </c:ser>
        <c:ser>
          <c:idx val="1"/>
          <c:order val="1"/>
          <c:tx>
            <c:strRef>
              <c:f>List1!$A$85</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List1!$B$83:$F$83</c:f>
              <c:strCache>
                <c:ptCount val="5"/>
                <c:pt idx="0">
                  <c:v>2014</c:v>
                </c:pt>
                <c:pt idx="1">
                  <c:v>2015</c:v>
                </c:pt>
                <c:pt idx="2">
                  <c:v>2016</c:v>
                </c:pt>
                <c:pt idx="3">
                  <c:v>2017*</c:v>
                </c:pt>
                <c:pt idx="4">
                  <c:v>2018**</c:v>
                </c:pt>
              </c:strCache>
            </c:strRef>
          </c:cat>
          <c:val>
            <c:numRef>
              <c:f>List1!$B$85:$F$85</c:f>
              <c:numCache>
                <c:formatCode>#,##0</c:formatCode>
                <c:ptCount val="5"/>
                <c:pt idx="0">
                  <c:v>14543</c:v>
                </c:pt>
                <c:pt idx="1">
                  <c:v>15526</c:v>
                </c:pt>
                <c:pt idx="2">
                  <c:v>16036</c:v>
                </c:pt>
                <c:pt idx="3">
                  <c:v>17295</c:v>
                </c:pt>
                <c:pt idx="4">
                  <c:v>18427</c:v>
                </c:pt>
              </c:numCache>
            </c:numRef>
          </c:val>
          <c:smooth val="0"/>
          <c:extLst xmlns:c16r2="http://schemas.microsoft.com/office/drawing/2015/06/chart">
            <c:ext xmlns:c16="http://schemas.microsoft.com/office/drawing/2014/chart" uri="{C3380CC4-5D6E-409C-BE32-E72D297353CC}">
              <c16:uniqueId val="{00000001-81AB-4C0D-9BD1-644B7F87EE0D}"/>
            </c:ext>
          </c:extLst>
        </c:ser>
        <c:dLbls>
          <c:showLegendKey val="0"/>
          <c:showVal val="0"/>
          <c:showCatName val="0"/>
          <c:showSerName val="0"/>
          <c:showPercent val="0"/>
          <c:showBubbleSize val="0"/>
        </c:dLbls>
        <c:smooth val="0"/>
        <c:axId val="533800656"/>
        <c:axId val="267315352"/>
      </c:lineChart>
      <c:catAx>
        <c:axId val="53380065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67315352"/>
        <c:crosses val="autoZero"/>
        <c:auto val="1"/>
        <c:lblAlgn val="ctr"/>
        <c:lblOffset val="100"/>
        <c:noMultiLvlLbl val="0"/>
      </c:catAx>
      <c:valAx>
        <c:axId val="267315352"/>
        <c:scaling>
          <c:orientation val="minMax"/>
          <c:min val="14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533800656"/>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List1!$A$92</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List1!$B$91:$F$91</c:f>
              <c:strCache>
                <c:ptCount val="5"/>
                <c:pt idx="0">
                  <c:v>2014</c:v>
                </c:pt>
                <c:pt idx="1">
                  <c:v>2015</c:v>
                </c:pt>
                <c:pt idx="2">
                  <c:v>2016</c:v>
                </c:pt>
                <c:pt idx="3">
                  <c:v>2017*</c:v>
                </c:pt>
                <c:pt idx="4">
                  <c:v>2018**</c:v>
                </c:pt>
              </c:strCache>
            </c:strRef>
          </c:cat>
          <c:val>
            <c:numRef>
              <c:f>List1!$B$92:$F$92</c:f>
              <c:numCache>
                <c:formatCode>#,##0</c:formatCode>
                <c:ptCount val="5"/>
                <c:pt idx="0">
                  <c:v>3123</c:v>
                </c:pt>
                <c:pt idx="1">
                  <c:v>3270</c:v>
                </c:pt>
                <c:pt idx="2">
                  <c:v>3455</c:v>
                </c:pt>
                <c:pt idx="3">
                  <c:v>3809</c:v>
                </c:pt>
                <c:pt idx="4">
                  <c:v>4008</c:v>
                </c:pt>
              </c:numCache>
            </c:numRef>
          </c:val>
          <c:smooth val="0"/>
          <c:extLst xmlns:c16r2="http://schemas.microsoft.com/office/drawing/2015/06/chart">
            <c:ext xmlns:c16="http://schemas.microsoft.com/office/drawing/2014/chart" uri="{C3380CC4-5D6E-409C-BE32-E72D297353CC}">
              <c16:uniqueId val="{00000000-B111-444E-8F09-909FEECCBBEE}"/>
            </c:ext>
          </c:extLst>
        </c:ser>
        <c:ser>
          <c:idx val="1"/>
          <c:order val="1"/>
          <c:tx>
            <c:strRef>
              <c:f>List1!$A$93</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List1!$B$91:$F$91</c:f>
              <c:strCache>
                <c:ptCount val="5"/>
                <c:pt idx="0">
                  <c:v>2014</c:v>
                </c:pt>
                <c:pt idx="1">
                  <c:v>2015</c:v>
                </c:pt>
                <c:pt idx="2">
                  <c:v>2016</c:v>
                </c:pt>
                <c:pt idx="3">
                  <c:v>2017*</c:v>
                </c:pt>
                <c:pt idx="4">
                  <c:v>2018**</c:v>
                </c:pt>
              </c:strCache>
            </c:strRef>
          </c:cat>
          <c:val>
            <c:numRef>
              <c:f>List1!$B$93:$F$93</c:f>
              <c:numCache>
                <c:formatCode>#,##0</c:formatCode>
                <c:ptCount val="5"/>
                <c:pt idx="0">
                  <c:v>3081</c:v>
                </c:pt>
                <c:pt idx="1">
                  <c:v>3295</c:v>
                </c:pt>
                <c:pt idx="2">
                  <c:v>3516</c:v>
                </c:pt>
                <c:pt idx="3">
                  <c:v>3705</c:v>
                </c:pt>
                <c:pt idx="4">
                  <c:v>3955</c:v>
                </c:pt>
              </c:numCache>
            </c:numRef>
          </c:val>
          <c:smooth val="0"/>
          <c:extLst xmlns:c16r2="http://schemas.microsoft.com/office/drawing/2015/06/chart">
            <c:ext xmlns:c16="http://schemas.microsoft.com/office/drawing/2014/chart" uri="{C3380CC4-5D6E-409C-BE32-E72D297353CC}">
              <c16:uniqueId val="{00000001-B111-444E-8F09-909FEECCBBEE}"/>
            </c:ext>
          </c:extLst>
        </c:ser>
        <c:dLbls>
          <c:showLegendKey val="0"/>
          <c:showVal val="0"/>
          <c:showCatName val="0"/>
          <c:showSerName val="0"/>
          <c:showPercent val="0"/>
          <c:showBubbleSize val="0"/>
        </c:dLbls>
        <c:smooth val="0"/>
        <c:axId val="296052456"/>
        <c:axId val="296048144"/>
      </c:lineChart>
      <c:catAx>
        <c:axId val="29605245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96048144"/>
        <c:crosses val="autoZero"/>
        <c:auto val="1"/>
        <c:lblAlgn val="ctr"/>
        <c:lblOffset val="100"/>
        <c:noMultiLvlLbl val="0"/>
      </c:catAx>
      <c:valAx>
        <c:axId val="296048144"/>
        <c:scaling>
          <c:orientation val="minMax"/>
          <c:max val="4100"/>
          <c:min val="3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96052456"/>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List1!$A$103</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List1!$B$102:$F$102</c:f>
              <c:strCache>
                <c:ptCount val="5"/>
                <c:pt idx="0">
                  <c:v>2014</c:v>
                </c:pt>
                <c:pt idx="1">
                  <c:v>2015</c:v>
                </c:pt>
                <c:pt idx="2">
                  <c:v>2016</c:v>
                </c:pt>
                <c:pt idx="3">
                  <c:v>2017*</c:v>
                </c:pt>
                <c:pt idx="4">
                  <c:v>2018**</c:v>
                </c:pt>
              </c:strCache>
            </c:strRef>
          </c:cat>
          <c:val>
            <c:numRef>
              <c:f>List1!$B$103:$F$103</c:f>
              <c:numCache>
                <c:formatCode>#,##0</c:formatCode>
                <c:ptCount val="5"/>
                <c:pt idx="0">
                  <c:v>26287</c:v>
                </c:pt>
                <c:pt idx="1">
                  <c:v>27853</c:v>
                </c:pt>
                <c:pt idx="2">
                  <c:v>29908</c:v>
                </c:pt>
                <c:pt idx="3">
                  <c:v>32107</c:v>
                </c:pt>
                <c:pt idx="4">
                  <c:v>34268</c:v>
                </c:pt>
              </c:numCache>
            </c:numRef>
          </c:val>
          <c:smooth val="0"/>
          <c:extLst xmlns:c16r2="http://schemas.microsoft.com/office/drawing/2015/06/chart">
            <c:ext xmlns:c16="http://schemas.microsoft.com/office/drawing/2014/chart" uri="{C3380CC4-5D6E-409C-BE32-E72D297353CC}">
              <c16:uniqueId val="{00000000-A1E1-45A5-9C01-ABA7878BC098}"/>
            </c:ext>
          </c:extLst>
        </c:ser>
        <c:ser>
          <c:idx val="1"/>
          <c:order val="1"/>
          <c:tx>
            <c:strRef>
              <c:f>List1!$A$104</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List1!$B$102:$F$102</c:f>
              <c:strCache>
                <c:ptCount val="5"/>
                <c:pt idx="0">
                  <c:v>2014</c:v>
                </c:pt>
                <c:pt idx="1">
                  <c:v>2015</c:v>
                </c:pt>
                <c:pt idx="2">
                  <c:v>2016</c:v>
                </c:pt>
                <c:pt idx="3">
                  <c:v>2017*</c:v>
                </c:pt>
                <c:pt idx="4">
                  <c:v>2018**</c:v>
                </c:pt>
              </c:strCache>
            </c:strRef>
          </c:cat>
          <c:val>
            <c:numRef>
              <c:f>List1!$B$104:$F$104</c:f>
              <c:numCache>
                <c:formatCode>#,##0</c:formatCode>
                <c:ptCount val="5"/>
                <c:pt idx="0">
                  <c:v>26664</c:v>
                </c:pt>
                <c:pt idx="1">
                  <c:v>28311</c:v>
                </c:pt>
                <c:pt idx="2">
                  <c:v>30190</c:v>
                </c:pt>
                <c:pt idx="3">
                  <c:v>31831</c:v>
                </c:pt>
                <c:pt idx="4">
                  <c:v>34070</c:v>
                </c:pt>
              </c:numCache>
            </c:numRef>
          </c:val>
          <c:smooth val="0"/>
          <c:extLst xmlns:c16r2="http://schemas.microsoft.com/office/drawing/2015/06/chart">
            <c:ext xmlns:c16="http://schemas.microsoft.com/office/drawing/2014/chart" uri="{C3380CC4-5D6E-409C-BE32-E72D297353CC}">
              <c16:uniqueId val="{00000001-A1E1-45A5-9C01-ABA7878BC098}"/>
            </c:ext>
          </c:extLst>
        </c:ser>
        <c:dLbls>
          <c:showLegendKey val="0"/>
          <c:showVal val="0"/>
          <c:showCatName val="0"/>
          <c:showSerName val="0"/>
          <c:showPercent val="0"/>
          <c:showBubbleSize val="0"/>
        </c:dLbls>
        <c:smooth val="0"/>
        <c:axId val="688008640"/>
        <c:axId val="688009816"/>
      </c:lineChart>
      <c:catAx>
        <c:axId val="68800864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688009816"/>
        <c:crosses val="autoZero"/>
        <c:auto val="1"/>
        <c:lblAlgn val="ctr"/>
        <c:lblOffset val="100"/>
        <c:noMultiLvlLbl val="0"/>
      </c:catAx>
      <c:valAx>
        <c:axId val="688009816"/>
        <c:scaling>
          <c:orientation val="minMax"/>
          <c:min val="26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688008640"/>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List1!$A$119</c:f>
              <c:strCache>
                <c:ptCount val="1"/>
                <c:pt idx="0">
                  <c:v>Příjmy</c:v>
                </c:pt>
              </c:strCache>
            </c:strRef>
          </c:tx>
          <c:spPr>
            <a:ln w="22225" cap="rnd">
              <a:solidFill>
                <a:schemeClr val="accent1"/>
              </a:solidFill>
            </a:ln>
            <a:effectLst>
              <a:glow rad="139700">
                <a:schemeClr val="accent1">
                  <a:satMod val="175000"/>
                  <a:alpha val="14000"/>
                </a:schemeClr>
              </a:glow>
            </a:effectLst>
          </c:spPr>
          <c:marker>
            <c:symbol val="none"/>
          </c:marker>
          <c:cat>
            <c:strRef>
              <c:f>List1!$B$118:$F$118</c:f>
              <c:strCache>
                <c:ptCount val="5"/>
                <c:pt idx="0">
                  <c:v>2014</c:v>
                </c:pt>
                <c:pt idx="1">
                  <c:v>2015</c:v>
                </c:pt>
                <c:pt idx="2">
                  <c:v>2016</c:v>
                </c:pt>
                <c:pt idx="3">
                  <c:v>2017*</c:v>
                </c:pt>
                <c:pt idx="4">
                  <c:v>2018**</c:v>
                </c:pt>
              </c:strCache>
            </c:strRef>
          </c:cat>
          <c:val>
            <c:numRef>
              <c:f>List1!$B$119:$F$119</c:f>
              <c:numCache>
                <c:formatCode>#,##0</c:formatCode>
                <c:ptCount val="5"/>
                <c:pt idx="0">
                  <c:v>8534</c:v>
                </c:pt>
                <c:pt idx="1">
                  <c:v>8989</c:v>
                </c:pt>
                <c:pt idx="2">
                  <c:v>9558</c:v>
                </c:pt>
                <c:pt idx="3">
                  <c:v>10145</c:v>
                </c:pt>
                <c:pt idx="4">
                  <c:v>10805</c:v>
                </c:pt>
              </c:numCache>
            </c:numRef>
          </c:val>
          <c:smooth val="0"/>
          <c:extLst xmlns:c16r2="http://schemas.microsoft.com/office/drawing/2015/06/chart">
            <c:ext xmlns:c16="http://schemas.microsoft.com/office/drawing/2014/chart" uri="{C3380CC4-5D6E-409C-BE32-E72D297353CC}">
              <c16:uniqueId val="{00000000-E5E7-4C4E-AD38-55F75C2C98D3}"/>
            </c:ext>
          </c:extLst>
        </c:ser>
        <c:ser>
          <c:idx val="1"/>
          <c:order val="1"/>
          <c:tx>
            <c:strRef>
              <c:f>List1!$A$120</c:f>
              <c:strCache>
                <c:ptCount val="1"/>
                <c:pt idx="0">
                  <c:v>Výdaje</c:v>
                </c:pt>
              </c:strCache>
            </c:strRef>
          </c:tx>
          <c:spPr>
            <a:ln w="22225" cap="rnd">
              <a:solidFill>
                <a:schemeClr val="accent2"/>
              </a:solidFill>
            </a:ln>
            <a:effectLst>
              <a:glow rad="139700">
                <a:schemeClr val="accent2">
                  <a:satMod val="175000"/>
                  <a:alpha val="14000"/>
                </a:schemeClr>
              </a:glow>
            </a:effectLst>
          </c:spPr>
          <c:marker>
            <c:symbol val="none"/>
          </c:marker>
          <c:cat>
            <c:strRef>
              <c:f>List1!$B$118:$F$118</c:f>
              <c:strCache>
                <c:ptCount val="5"/>
                <c:pt idx="0">
                  <c:v>2014</c:v>
                </c:pt>
                <c:pt idx="1">
                  <c:v>2015</c:v>
                </c:pt>
                <c:pt idx="2">
                  <c:v>2016</c:v>
                </c:pt>
                <c:pt idx="3">
                  <c:v>2017*</c:v>
                </c:pt>
                <c:pt idx="4">
                  <c:v>2018**</c:v>
                </c:pt>
              </c:strCache>
            </c:strRef>
          </c:cat>
          <c:val>
            <c:numRef>
              <c:f>List1!$B$120:$F$120</c:f>
              <c:numCache>
                <c:formatCode>#,##0</c:formatCode>
                <c:ptCount val="5"/>
                <c:pt idx="0">
                  <c:v>8697</c:v>
                </c:pt>
                <c:pt idx="1">
                  <c:v>9138</c:v>
                </c:pt>
                <c:pt idx="2">
                  <c:v>9583</c:v>
                </c:pt>
                <c:pt idx="3">
                  <c:v>10218</c:v>
                </c:pt>
                <c:pt idx="4">
                  <c:v>10779</c:v>
                </c:pt>
              </c:numCache>
            </c:numRef>
          </c:val>
          <c:smooth val="0"/>
          <c:extLst xmlns:c16r2="http://schemas.microsoft.com/office/drawing/2015/06/chart">
            <c:ext xmlns:c16="http://schemas.microsoft.com/office/drawing/2014/chart" uri="{C3380CC4-5D6E-409C-BE32-E72D297353CC}">
              <c16:uniqueId val="{00000001-E5E7-4C4E-AD38-55F75C2C98D3}"/>
            </c:ext>
          </c:extLst>
        </c:ser>
        <c:dLbls>
          <c:showLegendKey val="0"/>
          <c:showVal val="0"/>
          <c:showCatName val="0"/>
          <c:showSerName val="0"/>
          <c:showPercent val="0"/>
          <c:showBubbleSize val="0"/>
        </c:dLbls>
        <c:smooth val="0"/>
        <c:axId val="688010208"/>
        <c:axId val="688006680"/>
      </c:lineChart>
      <c:catAx>
        <c:axId val="68801020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688006680"/>
        <c:crosses val="autoZero"/>
        <c:auto val="1"/>
        <c:lblAlgn val="ctr"/>
        <c:lblOffset val="100"/>
        <c:noMultiLvlLbl val="0"/>
      </c:catAx>
      <c:valAx>
        <c:axId val="688006680"/>
        <c:scaling>
          <c:orientation val="minMax"/>
          <c:min val="8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688010208"/>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Červená">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FAC29-0157-428F-AB75-2BF27578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11768</Words>
  <Characters>69438</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Ekonomická analýza zdravotních pojišťoven v České republice</vt:lpstr>
    </vt:vector>
  </TitlesOfParts>
  <Company/>
  <LinksUpToDate>false</LinksUpToDate>
  <CharactersWithSpaces>81044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Ekonomická analýza zdravotních pojišťoven v České republice</dc:title>
  <dc:subject>Jak zdravé jsou zdravotní pojišťovny?</dc:subject>
  <dc:creator>Tomáš Cikrt</dc:creator>
  <cp:keywords/>
  <dc:description/>
  <cp:lastModifiedBy>Tomáš Cikrt</cp:lastModifiedBy>
  <cp:revision>2</cp:revision>
  <dcterms:created xsi:type="dcterms:W3CDTF">2018-11-19T02:24:00Z</dcterms:created>
  <dcterms:modified xsi:type="dcterms:W3CDTF">2018-11-19T02:24:00Z</dcterms:modified>
</cp:coreProperties>
</file>